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E5E42">
      <w:pPr>
        <w:pStyle w:val="39"/>
        <w:spacing w:line="0" w:lineRule="atLeast"/>
        <w:jc w:val="center"/>
        <w:rPr>
          <w:rFonts w:hint="eastAsia" w:ascii="宋体" w:hAnsi="宋体" w:eastAsia="宋体" w:cs="宋体"/>
          <w:b/>
          <w:color w:val="auto"/>
          <w:sz w:val="32"/>
          <w:szCs w:val="32"/>
          <w:highlight w:val="yellow"/>
        </w:rPr>
      </w:pPr>
      <w:bookmarkStart w:id="0" w:name="_Toc98580390"/>
    </w:p>
    <w:p w14:paraId="18DB1475">
      <w:pPr>
        <w:pStyle w:val="39"/>
        <w:spacing w:line="0" w:lineRule="atLeast"/>
        <w:jc w:val="center"/>
        <w:rPr>
          <w:rFonts w:hint="eastAsia" w:ascii="宋体" w:hAnsi="宋体" w:eastAsia="宋体" w:cs="宋体"/>
          <w:b/>
          <w:color w:val="auto"/>
          <w:sz w:val="32"/>
          <w:szCs w:val="32"/>
          <w:highlight w:val="yellow"/>
        </w:rPr>
      </w:pPr>
    </w:p>
    <w:p w14:paraId="3DC7C817">
      <w:pPr>
        <w:pStyle w:val="39"/>
        <w:spacing w:line="0" w:lineRule="atLeast"/>
        <w:jc w:val="center"/>
        <w:rPr>
          <w:rFonts w:hint="eastAsia" w:ascii="宋体" w:hAnsi="宋体" w:eastAsia="宋体" w:cs="宋体"/>
          <w:b/>
          <w:color w:val="auto"/>
          <w:sz w:val="32"/>
          <w:szCs w:val="32"/>
          <w:highlight w:val="yellow"/>
        </w:rPr>
      </w:pPr>
    </w:p>
    <w:p w14:paraId="7A47F050">
      <w:pPr>
        <w:spacing w:line="0" w:lineRule="atLeast"/>
        <w:jc w:val="center"/>
        <w:rPr>
          <w:rFonts w:hint="eastAsia" w:ascii="宋体" w:hAnsi="宋体" w:eastAsia="宋体" w:cs="宋体"/>
          <w:b/>
          <w:color w:val="auto"/>
          <w:sz w:val="48"/>
          <w:szCs w:val="48"/>
          <w:highlight w:val="yellow"/>
        </w:rPr>
      </w:pPr>
      <w:r>
        <w:rPr>
          <w:rFonts w:hint="eastAsia" w:ascii="宋体" w:hAnsi="宋体" w:eastAsia="宋体" w:cs="宋体"/>
          <w:b/>
          <w:bCs/>
          <w:sz w:val="40"/>
          <w:szCs w:val="22"/>
          <w:highlight w:val="none"/>
          <w:lang w:eastAsia="zh-CN"/>
        </w:rPr>
        <w:t>长白山森林生态系统国家定位观测研究站改造提升建设项目仪器设备购置</w:t>
      </w:r>
    </w:p>
    <w:p w14:paraId="66CFCE91">
      <w:pPr>
        <w:pStyle w:val="44"/>
        <w:rPr>
          <w:rFonts w:hint="eastAsia" w:ascii="宋体" w:hAnsi="宋体" w:eastAsia="宋体" w:cs="宋体"/>
          <w:b/>
          <w:color w:val="auto"/>
          <w:sz w:val="48"/>
          <w:szCs w:val="48"/>
          <w:highlight w:val="yellow"/>
        </w:rPr>
      </w:pPr>
    </w:p>
    <w:p w14:paraId="5389454A">
      <w:pPr>
        <w:pStyle w:val="26"/>
        <w:rPr>
          <w:rFonts w:hint="eastAsia"/>
          <w:color w:val="auto"/>
          <w:highlight w:val="yellow"/>
        </w:rPr>
      </w:pPr>
    </w:p>
    <w:p w14:paraId="3BF43298">
      <w:pPr>
        <w:jc w:val="center"/>
        <w:rPr>
          <w:rFonts w:hint="eastAsia" w:ascii="宋体" w:hAnsi="宋体" w:eastAsia="宋体" w:cs="宋体"/>
          <w:b/>
          <w:color w:val="auto"/>
          <w:sz w:val="112"/>
          <w:szCs w:val="52"/>
          <w:highlight w:val="none"/>
        </w:rPr>
      </w:pPr>
      <w:r>
        <w:rPr>
          <w:rFonts w:hint="eastAsia" w:ascii="宋体" w:hAnsi="宋体" w:eastAsia="宋体" w:cs="宋体"/>
          <w:b/>
          <w:color w:val="auto"/>
          <w:sz w:val="112"/>
          <w:szCs w:val="52"/>
          <w:highlight w:val="none"/>
        </w:rPr>
        <w:t>招</w:t>
      </w:r>
      <w:r>
        <w:rPr>
          <w:rFonts w:hint="eastAsia" w:ascii="宋体" w:hAnsi="宋体" w:eastAsia="宋体" w:cs="宋体"/>
          <w:b/>
          <w:color w:val="auto"/>
          <w:sz w:val="112"/>
          <w:szCs w:val="52"/>
          <w:highlight w:val="none"/>
          <w:lang w:val="en-US" w:eastAsia="zh-CN"/>
        </w:rPr>
        <w:t xml:space="preserve"> </w:t>
      </w:r>
      <w:r>
        <w:rPr>
          <w:rFonts w:hint="eastAsia" w:ascii="宋体" w:hAnsi="宋体" w:eastAsia="宋体" w:cs="宋体"/>
          <w:b/>
          <w:color w:val="auto"/>
          <w:sz w:val="112"/>
          <w:szCs w:val="52"/>
          <w:highlight w:val="none"/>
        </w:rPr>
        <w:t>标</w:t>
      </w:r>
      <w:r>
        <w:rPr>
          <w:rFonts w:hint="eastAsia" w:ascii="宋体" w:hAnsi="宋体" w:eastAsia="宋体" w:cs="宋体"/>
          <w:b/>
          <w:color w:val="auto"/>
          <w:sz w:val="112"/>
          <w:szCs w:val="52"/>
          <w:highlight w:val="none"/>
          <w:lang w:val="en-US" w:eastAsia="zh-CN"/>
        </w:rPr>
        <w:t xml:space="preserve"> </w:t>
      </w:r>
      <w:r>
        <w:rPr>
          <w:rFonts w:hint="eastAsia" w:ascii="宋体" w:hAnsi="宋体" w:eastAsia="宋体" w:cs="宋体"/>
          <w:b/>
          <w:color w:val="auto"/>
          <w:sz w:val="112"/>
          <w:szCs w:val="52"/>
          <w:highlight w:val="none"/>
        </w:rPr>
        <w:t>文</w:t>
      </w:r>
      <w:bookmarkStart w:id="57" w:name="_GoBack"/>
      <w:bookmarkEnd w:id="57"/>
      <w:r>
        <w:rPr>
          <w:rFonts w:hint="eastAsia" w:ascii="宋体" w:hAnsi="宋体" w:eastAsia="宋体" w:cs="宋体"/>
          <w:b/>
          <w:color w:val="auto"/>
          <w:sz w:val="112"/>
          <w:szCs w:val="52"/>
          <w:highlight w:val="none"/>
          <w:lang w:val="en-US" w:eastAsia="zh-CN"/>
        </w:rPr>
        <w:t xml:space="preserve"> </w:t>
      </w:r>
      <w:r>
        <w:rPr>
          <w:rFonts w:hint="eastAsia" w:ascii="宋体" w:hAnsi="宋体" w:eastAsia="宋体" w:cs="宋体"/>
          <w:b/>
          <w:color w:val="auto"/>
          <w:sz w:val="112"/>
          <w:szCs w:val="52"/>
          <w:highlight w:val="none"/>
        </w:rPr>
        <w:t>件</w:t>
      </w:r>
    </w:p>
    <w:p w14:paraId="58EBAB2A">
      <w:pPr>
        <w:jc w:val="center"/>
        <w:rPr>
          <w:rFonts w:hint="eastAsia" w:ascii="宋体" w:hAnsi="宋体" w:eastAsia="宋体" w:cs="宋体"/>
          <w:b/>
          <w:color w:val="auto"/>
          <w:sz w:val="32"/>
          <w:highlight w:val="yellow"/>
        </w:rPr>
      </w:pPr>
    </w:p>
    <w:p w14:paraId="325C63E6">
      <w:pPr>
        <w:jc w:val="center"/>
        <w:rPr>
          <w:rFonts w:hint="default" w:ascii="宋体" w:hAnsi="宋体" w:eastAsia="宋体" w:cs="宋体"/>
          <w:b/>
          <w:color w:val="auto"/>
          <w:sz w:val="32"/>
          <w:highlight w:val="none"/>
          <w:lang w:val="en-US" w:eastAsia="zh-CN"/>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rPr>
        <w:fldChar w:fldCharType="begin"/>
      </w:r>
      <w:r>
        <w:rPr>
          <w:rFonts w:hint="eastAsia" w:ascii="宋体" w:hAnsi="宋体" w:eastAsia="宋体" w:cs="宋体"/>
          <w:b/>
          <w:color w:val="auto"/>
          <w:sz w:val="32"/>
          <w:highlight w:val="none"/>
        </w:rPr>
        <w:instrText xml:space="preserve"> HYPERLINK "https://pay.zcygov.cn/purchaseplan_front/" \l "/plan/list/view?id=1000000000015923273&amp;_app_=zcy.procurement" \t "https://www.zcygov.cn/delegation-order/_procurement_/order/_blank" </w:instrText>
      </w:r>
      <w:r>
        <w:rPr>
          <w:rFonts w:hint="eastAsia" w:ascii="宋体" w:hAnsi="宋体" w:eastAsia="宋体" w:cs="宋体"/>
          <w:b/>
          <w:color w:val="auto"/>
          <w:sz w:val="32"/>
          <w:highlight w:val="none"/>
        </w:rPr>
        <w:fldChar w:fldCharType="separate"/>
      </w:r>
      <w:r>
        <w:rPr>
          <w:rFonts w:hint="eastAsia" w:ascii="宋体" w:hAnsi="宋体" w:eastAsia="宋体" w:cs="宋体"/>
          <w:b/>
          <w:color w:val="auto"/>
          <w:sz w:val="32"/>
          <w:highlight w:val="none"/>
        </w:rPr>
        <w:t>采购计划-[2025]-06702号</w:t>
      </w:r>
      <w:r>
        <w:rPr>
          <w:rFonts w:hint="eastAsia" w:ascii="宋体" w:hAnsi="宋体" w:eastAsia="宋体" w:cs="宋体"/>
          <w:b/>
          <w:color w:val="auto"/>
          <w:sz w:val="32"/>
          <w:highlight w:val="none"/>
        </w:rPr>
        <w:fldChar w:fldCharType="end"/>
      </w:r>
      <w:r>
        <w:rPr>
          <w:rFonts w:hint="eastAsia" w:ascii="宋体" w:hAnsi="宋体" w:eastAsia="宋体" w:cs="宋体"/>
          <w:b/>
          <w:color w:val="auto"/>
          <w:sz w:val="32"/>
          <w:highlight w:val="none"/>
          <w:lang w:val="en-US" w:eastAsia="zh-CN"/>
        </w:rPr>
        <w:t>-001</w:t>
      </w:r>
    </w:p>
    <w:p w14:paraId="651B07B0">
      <w:pPr>
        <w:jc w:val="center"/>
        <w:rPr>
          <w:rFonts w:hint="eastAsia" w:ascii="宋体" w:hAnsi="宋体" w:eastAsia="宋体" w:cs="宋体"/>
          <w:b/>
          <w:color w:val="auto"/>
          <w:sz w:val="32"/>
          <w:highlight w:val="none"/>
        </w:rPr>
      </w:pPr>
    </w:p>
    <w:p w14:paraId="765967A8">
      <w:pPr>
        <w:jc w:val="center"/>
        <w:rPr>
          <w:rFonts w:hint="eastAsia" w:ascii="宋体" w:hAnsi="宋体" w:eastAsia="宋体" w:cs="宋体"/>
          <w:color w:val="auto"/>
          <w:sz w:val="32"/>
          <w:highlight w:val="yellow"/>
        </w:rPr>
      </w:pPr>
    </w:p>
    <w:p w14:paraId="05BB5C08">
      <w:pPr>
        <w:jc w:val="center"/>
        <w:rPr>
          <w:rFonts w:hint="eastAsia" w:ascii="宋体" w:hAnsi="宋体" w:eastAsia="宋体" w:cs="宋体"/>
          <w:color w:val="auto"/>
          <w:sz w:val="32"/>
          <w:highlight w:val="yellow"/>
        </w:rPr>
      </w:pPr>
    </w:p>
    <w:p w14:paraId="5B699621">
      <w:pPr>
        <w:jc w:val="center"/>
        <w:rPr>
          <w:rFonts w:hint="eastAsia" w:ascii="宋体" w:hAnsi="宋体" w:eastAsia="宋体" w:cs="宋体"/>
          <w:color w:val="auto"/>
          <w:sz w:val="32"/>
          <w:highlight w:val="yellow"/>
        </w:rPr>
      </w:pPr>
    </w:p>
    <w:p w14:paraId="56CB8F23">
      <w:pPr>
        <w:jc w:val="center"/>
        <w:rPr>
          <w:rFonts w:hint="eastAsia" w:ascii="宋体" w:hAnsi="宋体" w:eastAsia="宋体" w:cs="宋体"/>
          <w:color w:val="auto"/>
          <w:sz w:val="18"/>
          <w:szCs w:val="18"/>
          <w:highlight w:val="yellow"/>
        </w:rPr>
      </w:pPr>
    </w:p>
    <w:p w14:paraId="1DC53F11">
      <w:pPr>
        <w:jc w:val="center"/>
        <w:rPr>
          <w:rFonts w:hint="eastAsia" w:ascii="宋体" w:hAnsi="宋体" w:eastAsia="宋体" w:cs="宋体"/>
          <w:color w:val="auto"/>
          <w:sz w:val="18"/>
          <w:szCs w:val="18"/>
          <w:highlight w:val="yellow"/>
        </w:rPr>
      </w:pPr>
    </w:p>
    <w:p w14:paraId="4EC966C6">
      <w:pPr>
        <w:jc w:val="center"/>
        <w:rPr>
          <w:rFonts w:hint="eastAsia" w:ascii="宋体" w:hAnsi="宋体" w:eastAsia="宋体" w:cs="宋体"/>
          <w:color w:val="auto"/>
          <w:sz w:val="18"/>
          <w:szCs w:val="18"/>
          <w:highlight w:val="yellow"/>
        </w:rPr>
      </w:pPr>
    </w:p>
    <w:p w14:paraId="6697AA3C">
      <w:pPr>
        <w:jc w:val="center"/>
        <w:rPr>
          <w:rFonts w:hint="eastAsia" w:ascii="宋体" w:hAnsi="宋体" w:eastAsia="宋体" w:cs="宋体"/>
          <w:color w:val="auto"/>
          <w:sz w:val="18"/>
          <w:szCs w:val="18"/>
          <w:highlight w:val="yellow"/>
        </w:rPr>
      </w:pPr>
    </w:p>
    <w:p w14:paraId="664CF210">
      <w:pPr>
        <w:pStyle w:val="5"/>
        <w:rPr>
          <w:rFonts w:hint="eastAsia" w:ascii="宋体" w:hAnsi="宋体" w:eastAsia="宋体" w:cs="宋体"/>
          <w:color w:val="auto"/>
          <w:highlight w:val="none"/>
        </w:rPr>
      </w:pPr>
    </w:p>
    <w:p w14:paraId="11606FC9">
      <w:pPr>
        <w:spacing w:line="480" w:lineRule="auto"/>
        <w:jc w:val="center"/>
        <w:rPr>
          <w:rFonts w:hint="eastAsia" w:ascii="宋体" w:hAnsi="宋体" w:eastAsia="宋体" w:cs="宋体"/>
          <w:color w:val="auto"/>
          <w:sz w:val="18"/>
          <w:szCs w:val="18"/>
          <w:highlight w:val="none"/>
        </w:rPr>
      </w:pPr>
    </w:p>
    <w:p w14:paraId="4BAAD398">
      <w:pPr>
        <w:jc w:val="both"/>
        <w:rPr>
          <w:rFonts w:hint="eastAsia" w:ascii="宋体" w:hAnsi="宋体" w:eastAsia="宋体" w:cs="宋体"/>
          <w:b/>
          <w:color w:val="auto"/>
          <w:sz w:val="28"/>
          <w:szCs w:val="21"/>
          <w:highlight w:val="none"/>
        </w:rPr>
      </w:pPr>
      <w:r>
        <w:rPr>
          <w:rFonts w:hint="eastAsia" w:ascii="宋体" w:hAnsi="宋体" w:eastAsia="宋体" w:cs="宋体"/>
          <w:b/>
          <w:color w:val="auto"/>
          <w:sz w:val="28"/>
          <w:szCs w:val="21"/>
          <w:highlight w:val="none"/>
        </w:rPr>
        <w:t>采   购   人：</w:t>
      </w:r>
      <w:r>
        <w:rPr>
          <w:rFonts w:hint="eastAsia" w:ascii="宋体" w:hAnsi="宋体" w:eastAsia="宋体" w:cs="宋体"/>
          <w:b/>
          <w:color w:val="auto"/>
          <w:sz w:val="28"/>
          <w:szCs w:val="21"/>
          <w:highlight w:val="none"/>
          <w:lang w:val="zh-CN"/>
        </w:rPr>
        <w:t>吉林省林业科学研究院（吉林省林业生物防治中心站）</w:t>
      </w:r>
      <w:r>
        <w:rPr>
          <w:rFonts w:hint="eastAsia" w:ascii="宋体" w:hAnsi="宋体" w:eastAsia="宋体" w:cs="宋体"/>
          <w:b/>
          <w:color w:val="auto"/>
          <w:sz w:val="28"/>
          <w:szCs w:val="21"/>
          <w:highlight w:val="none"/>
        </w:rPr>
        <w:t xml:space="preserve">     </w:t>
      </w:r>
    </w:p>
    <w:p w14:paraId="13D0CD80">
      <w:pPr>
        <w:ind w:firstLine="1124" w:firstLineChars="400"/>
        <w:jc w:val="both"/>
        <w:rPr>
          <w:rFonts w:hint="eastAsia" w:ascii="宋体" w:hAnsi="宋体" w:eastAsia="宋体" w:cs="宋体"/>
          <w:b/>
          <w:color w:val="auto"/>
          <w:sz w:val="28"/>
          <w:szCs w:val="21"/>
          <w:highlight w:val="none"/>
        </w:rPr>
      </w:pPr>
      <w:r>
        <w:rPr>
          <w:rFonts w:hint="eastAsia" w:ascii="宋体" w:hAnsi="宋体" w:eastAsia="宋体" w:cs="宋体"/>
          <w:b/>
          <w:color w:val="auto"/>
          <w:sz w:val="28"/>
          <w:szCs w:val="21"/>
          <w:highlight w:val="none"/>
          <w:lang w:val="en-US" w:eastAsia="zh-CN"/>
        </w:rPr>
        <w:t xml:space="preserve"> </w:t>
      </w:r>
      <w:r>
        <w:rPr>
          <w:rFonts w:hint="eastAsia" w:ascii="宋体" w:hAnsi="宋体" w:eastAsia="宋体" w:cs="宋体"/>
          <w:b/>
          <w:color w:val="auto"/>
          <w:sz w:val="28"/>
          <w:szCs w:val="21"/>
          <w:highlight w:val="none"/>
        </w:rPr>
        <w:t xml:space="preserve">    </w:t>
      </w:r>
    </w:p>
    <w:p w14:paraId="408A9D31">
      <w:pPr>
        <w:pStyle w:val="18"/>
        <w:rPr>
          <w:rFonts w:hint="eastAsia"/>
          <w:highlight w:val="none"/>
        </w:rPr>
      </w:pPr>
    </w:p>
    <w:p w14:paraId="500845EE">
      <w:pPr>
        <w:pStyle w:val="18"/>
        <w:rPr>
          <w:rFonts w:hint="eastAsia"/>
          <w:highlight w:val="none"/>
        </w:rPr>
      </w:pPr>
    </w:p>
    <w:p w14:paraId="587E344E">
      <w:pPr>
        <w:jc w:val="both"/>
        <w:rPr>
          <w:rFonts w:hint="eastAsia" w:ascii="宋体" w:hAnsi="宋体" w:eastAsia="宋体" w:cs="宋体"/>
          <w:b/>
          <w:color w:val="auto"/>
          <w:sz w:val="28"/>
          <w:szCs w:val="21"/>
          <w:highlight w:val="none"/>
        </w:rPr>
      </w:pPr>
      <w:r>
        <w:rPr>
          <w:rFonts w:hint="eastAsia" w:ascii="宋体" w:hAnsi="宋体" w:eastAsia="宋体" w:cs="宋体"/>
          <w:b/>
          <w:color w:val="auto"/>
          <w:sz w:val="28"/>
          <w:szCs w:val="21"/>
          <w:highlight w:val="none"/>
        </w:rPr>
        <w:t>采购代理机构：</w:t>
      </w:r>
      <w:r>
        <w:rPr>
          <w:rFonts w:hint="eastAsia" w:ascii="宋体" w:hAnsi="宋体" w:eastAsia="宋体" w:cs="宋体"/>
          <w:b/>
          <w:color w:val="auto"/>
          <w:sz w:val="28"/>
          <w:szCs w:val="21"/>
          <w:highlight w:val="none"/>
          <w:lang w:val="zh-CN"/>
        </w:rPr>
        <w:t>吉林省百利邦项目管理咨询有限公司</w:t>
      </w:r>
    </w:p>
    <w:p w14:paraId="6CF6151E">
      <w:pPr>
        <w:ind w:firstLine="1285" w:firstLineChars="400"/>
        <w:jc w:val="both"/>
        <w:rPr>
          <w:rFonts w:hint="eastAsia" w:ascii="宋体" w:hAnsi="宋体" w:eastAsia="宋体" w:cs="宋体"/>
          <w:b/>
          <w:color w:val="auto"/>
          <w:sz w:val="32"/>
          <w:szCs w:val="22"/>
          <w:highlight w:val="none"/>
        </w:rPr>
      </w:pPr>
    </w:p>
    <w:p w14:paraId="7C346F6E">
      <w:pPr>
        <w:jc w:val="center"/>
        <w:rPr>
          <w:rFonts w:hint="eastAsia" w:ascii="宋体" w:hAnsi="宋体" w:eastAsia="宋体" w:cs="宋体"/>
          <w:b/>
          <w:color w:val="auto"/>
          <w:sz w:val="32"/>
          <w:szCs w:val="22"/>
          <w:highlight w:val="none"/>
          <w:lang w:eastAsia="zh-CN"/>
        </w:rPr>
      </w:pPr>
      <w:r>
        <w:rPr>
          <w:rFonts w:hint="eastAsia" w:ascii="宋体" w:hAnsi="宋体" w:eastAsia="宋体" w:cs="宋体"/>
          <w:b/>
          <w:color w:val="auto"/>
          <w:sz w:val="32"/>
          <w:szCs w:val="22"/>
          <w:highlight w:val="none"/>
        </w:rPr>
        <w:t>日期：</w:t>
      </w:r>
      <w:r>
        <w:rPr>
          <w:rFonts w:hint="eastAsia" w:ascii="宋体" w:hAnsi="宋体" w:eastAsia="宋体" w:cs="宋体"/>
          <w:b/>
          <w:color w:val="auto"/>
          <w:sz w:val="32"/>
          <w:szCs w:val="22"/>
          <w:highlight w:val="none"/>
          <w:lang w:val="en-US" w:eastAsia="zh-CN"/>
        </w:rPr>
        <w:t>二〇二五年</w:t>
      </w:r>
      <w:r>
        <w:rPr>
          <w:rFonts w:hint="eastAsia" w:ascii="宋体" w:hAnsi="宋体" w:cs="宋体"/>
          <w:b/>
          <w:color w:val="auto"/>
          <w:sz w:val="32"/>
          <w:szCs w:val="22"/>
          <w:highlight w:val="none"/>
          <w:lang w:val="en-US" w:eastAsia="zh-CN"/>
        </w:rPr>
        <w:t>七</w:t>
      </w:r>
      <w:r>
        <w:rPr>
          <w:rFonts w:hint="eastAsia" w:ascii="宋体" w:hAnsi="宋体" w:eastAsia="宋体" w:cs="宋体"/>
          <w:b/>
          <w:color w:val="auto"/>
          <w:sz w:val="32"/>
          <w:szCs w:val="22"/>
          <w:highlight w:val="none"/>
          <w:lang w:val="en-US" w:eastAsia="zh-CN"/>
        </w:rPr>
        <w:t>月</w:t>
      </w:r>
    </w:p>
    <w:p w14:paraId="7AFC0489">
      <w:pPr>
        <w:adjustRightInd w:val="0"/>
        <w:snapToGrid w:val="0"/>
        <w:spacing w:line="360" w:lineRule="auto"/>
        <w:ind w:right="496" w:rightChars="248"/>
        <w:jc w:val="center"/>
        <w:rPr>
          <w:rFonts w:hint="eastAsia" w:ascii="宋体" w:hAnsi="宋体" w:eastAsia="宋体" w:cs="宋体"/>
          <w:b/>
          <w:bCs/>
          <w:color w:val="auto"/>
          <w:sz w:val="28"/>
          <w:highlight w:val="yellow"/>
        </w:rPr>
      </w:pPr>
    </w:p>
    <w:p w14:paraId="48474C9B">
      <w:pPr>
        <w:jc w:val="center"/>
        <w:rPr>
          <w:rFonts w:hint="eastAsia" w:ascii="宋体" w:hAnsi="宋体" w:eastAsia="宋体" w:cs="宋体"/>
          <w:b/>
          <w:bCs/>
          <w:color w:val="auto"/>
          <w:sz w:val="36"/>
          <w:highlight w:val="yellow"/>
        </w:rPr>
        <w:sectPr>
          <w:headerReference r:id="rId4" w:type="first"/>
          <w:headerReference r:id="rId3" w:type="default"/>
          <w:footerReference r:id="rId5" w:type="even"/>
          <w:pgSz w:w="11906" w:h="16838"/>
          <w:pgMar w:top="1418" w:right="1247" w:bottom="1418" w:left="1418" w:header="851" w:footer="992" w:gutter="0"/>
          <w:pgNumType w:fmt="decimal"/>
          <w:cols w:space="720" w:num="1"/>
          <w:titlePg/>
          <w:docGrid w:linePitch="312" w:charSpace="0"/>
        </w:sectPr>
      </w:pPr>
      <w:bookmarkStart w:id="1" w:name="_Toc98580389"/>
    </w:p>
    <w:p w14:paraId="4B4390D3">
      <w:pPr>
        <w:pStyle w:val="44"/>
        <w:rPr>
          <w:rFonts w:hint="eastAsia"/>
          <w:highlight w:val="yellow"/>
        </w:rPr>
      </w:pPr>
    </w:p>
    <w:p w14:paraId="249A2E3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highlight w:val="none"/>
        </w:rPr>
      </w:pPr>
      <w:r>
        <w:rPr>
          <w:rFonts w:hint="eastAsia" w:ascii="宋体" w:hAnsi="宋体" w:eastAsia="宋体" w:cs="宋体"/>
          <w:b/>
          <w:bCs/>
          <w:color w:val="auto"/>
          <w:sz w:val="36"/>
          <w:highlight w:val="none"/>
        </w:rPr>
        <w:t>目　　录</w:t>
      </w:r>
    </w:p>
    <w:p w14:paraId="5F3D3A7C">
      <w:pPr>
        <w:jc w:val="center"/>
        <w:rPr>
          <w:rFonts w:hint="eastAsia" w:ascii="宋体" w:hAnsi="宋体" w:eastAsia="宋体" w:cs="宋体"/>
          <w:b/>
          <w:bCs/>
          <w:color w:val="auto"/>
          <w:sz w:val="36"/>
          <w:highlight w:val="none"/>
        </w:rPr>
      </w:pPr>
    </w:p>
    <w:p w14:paraId="394271BE">
      <w:pPr>
        <w:pStyle w:val="30"/>
        <w:tabs>
          <w:tab w:val="right" w:leader="dot" w:pos="9241"/>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TOC \o "1-1" \h \z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_Toc13336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第一部分  招标公告</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p>
    <w:p w14:paraId="22F29F58">
      <w:pPr>
        <w:pStyle w:val="30"/>
        <w:tabs>
          <w:tab w:val="right" w:leader="dot" w:pos="9241"/>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_Toc28014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第二部分  供应商须知</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fldChar w:fldCharType="end"/>
      </w:r>
    </w:p>
    <w:p w14:paraId="69563638">
      <w:pPr>
        <w:pStyle w:val="30"/>
        <w:tabs>
          <w:tab w:val="right" w:leader="dot" w:pos="9241"/>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_Toc8440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第三部分  评标办法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_Toc8440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8FC2D9C">
      <w:pPr>
        <w:pStyle w:val="30"/>
        <w:tabs>
          <w:tab w:val="right" w:leader="dot" w:pos="9241"/>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_Toc13415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第四部分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采购需求</w:t>
      </w:r>
      <w:r>
        <w:rPr>
          <w:rFonts w:hint="eastAsia" w:ascii="宋体" w:hAnsi="宋体" w:cs="宋体"/>
          <w:color w:val="auto"/>
          <w:sz w:val="28"/>
          <w:szCs w:val="28"/>
          <w:highlight w:val="none"/>
          <w:lang w:val="en-US" w:eastAsia="zh-CN"/>
        </w:rPr>
        <w:t>和技术要求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_Toc13415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0D52A52">
      <w:pPr>
        <w:pStyle w:val="30"/>
        <w:tabs>
          <w:tab w:val="right" w:leader="dot" w:pos="9241"/>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_Toc18914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第五部分  合同格式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_Toc18914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AE068C3">
      <w:pPr>
        <w:pStyle w:val="30"/>
        <w:tabs>
          <w:tab w:val="right" w:leader="dot" w:pos="9241"/>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_Toc19534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第六部分  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_Toc19534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6D77A56">
      <w:pPr>
        <w:pStyle w:val="30"/>
        <w:tabs>
          <w:tab w:val="right" w:leader="dot" w:pos="9241"/>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end"/>
      </w:r>
    </w:p>
    <w:bookmarkEnd w:id="1"/>
    <w:p w14:paraId="6411442E">
      <w:pPr>
        <w:rPr>
          <w:rFonts w:hint="eastAsia" w:ascii="宋体" w:hAnsi="宋体" w:eastAsia="宋体" w:cs="宋体"/>
          <w:color w:val="auto"/>
          <w:highlight w:val="none"/>
        </w:rPr>
        <w:sectPr>
          <w:footerReference r:id="rId7" w:type="first"/>
          <w:footerReference r:id="rId6" w:type="default"/>
          <w:pgSz w:w="11906" w:h="16838"/>
          <w:pgMar w:top="1418" w:right="1247" w:bottom="1418" w:left="1418" w:header="851" w:footer="992" w:gutter="0"/>
          <w:pgNumType w:fmt="decimal" w:start="1"/>
          <w:cols w:space="720" w:num="1"/>
          <w:titlePg/>
          <w:docGrid w:linePitch="312" w:charSpace="0"/>
        </w:sectPr>
      </w:pPr>
    </w:p>
    <w:p w14:paraId="1C0345A4">
      <w:pPr>
        <w:pStyle w:val="44"/>
        <w:rPr>
          <w:rFonts w:hint="eastAsia"/>
          <w:highlight w:val="none"/>
        </w:rPr>
      </w:pPr>
    </w:p>
    <w:p w14:paraId="59FB9044">
      <w:pPr>
        <w:jc w:val="center"/>
        <w:rPr>
          <w:rStyle w:val="65"/>
          <w:rFonts w:hint="eastAsia" w:ascii="宋体" w:hAnsi="宋体" w:eastAsia="宋体" w:cs="宋体"/>
          <w:color w:val="auto"/>
          <w:highlight w:val="none"/>
        </w:rPr>
      </w:pPr>
      <w:r>
        <w:rPr>
          <w:rStyle w:val="65"/>
          <w:rFonts w:hint="eastAsia" w:ascii="宋体" w:hAnsi="宋体" w:eastAsia="宋体" w:cs="宋体"/>
          <w:color w:val="auto"/>
          <w:highlight w:val="none"/>
        </w:rPr>
        <w:t>第一章  招标公告</w:t>
      </w:r>
    </w:p>
    <w:p w14:paraId="34D4DE06">
      <w:pPr>
        <w:spacing w:line="340" w:lineRule="exact"/>
        <w:jc w:val="center"/>
        <w:rPr>
          <w:rFonts w:hint="eastAsia" w:ascii="宋体" w:hAnsi="宋体" w:cs="宋体"/>
          <w:b/>
          <w:bCs/>
          <w:sz w:val="24"/>
          <w:highlight w:val="none"/>
          <w:lang w:val="zh-CN"/>
        </w:rPr>
      </w:pPr>
      <w:r>
        <w:rPr>
          <w:rFonts w:hint="eastAsia" w:ascii="宋体" w:hAnsi="宋体" w:cs="宋体"/>
          <w:b/>
          <w:bCs/>
          <w:sz w:val="24"/>
          <w:highlight w:val="none"/>
          <w:lang w:val="zh-CN"/>
        </w:rPr>
        <w:t>长白山森林生态系统国家定位观测研究站改造提升建设项目仪器设备购置</w:t>
      </w:r>
    </w:p>
    <w:p w14:paraId="32D3D2CE">
      <w:pPr>
        <w:spacing w:line="340" w:lineRule="exact"/>
        <w:jc w:val="center"/>
        <w:rPr>
          <w:rFonts w:ascii="宋体" w:hAnsi="宋体" w:cs="宋体"/>
          <w:b/>
          <w:bCs/>
          <w:sz w:val="24"/>
          <w:highlight w:val="none"/>
          <w:lang w:val="zh-CN"/>
        </w:rPr>
      </w:pPr>
      <w:r>
        <w:rPr>
          <w:rFonts w:hint="eastAsia" w:ascii="宋体" w:hAnsi="宋体" w:cs="宋体"/>
          <w:b/>
          <w:bCs/>
          <w:sz w:val="24"/>
          <w:highlight w:val="none"/>
          <w:lang w:val="zh-CN"/>
        </w:rPr>
        <w:t>招标公告</w:t>
      </w:r>
    </w:p>
    <w:p w14:paraId="60DA0F19">
      <w:pPr>
        <w:pStyle w:val="18"/>
        <w:ind w:left="0" w:leftChars="0" w:firstLine="0" w:firstLineChars="0"/>
        <w:jc w:val="center"/>
        <w:rPr>
          <w:rFonts w:hint="eastAsia"/>
        </w:rPr>
      </w:pPr>
      <w:r>
        <w:rPr>
          <w:rFonts w:hint="eastAsia" w:ascii="宋体" w:hAnsi="宋体" w:cs="宋体"/>
          <w:b/>
          <w:bCs/>
          <w:sz w:val="24"/>
          <w:highlight w:val="none"/>
          <w:lang w:val="zh-CN"/>
        </w:rPr>
        <w:t>（资格后审）</w:t>
      </w:r>
    </w:p>
    <w:p w14:paraId="15D78395">
      <w:pPr>
        <w:pBdr>
          <w:top w:val="single" w:color="auto" w:sz="4" w:space="1"/>
          <w:left w:val="single" w:color="auto" w:sz="4" w:space="4"/>
          <w:bottom w:val="single" w:color="auto" w:sz="4" w:space="1"/>
          <w:right w:val="single" w:color="auto" w:sz="4" w:space="4"/>
        </w:pBdr>
        <w:autoSpaceDE w:val="0"/>
        <w:spacing w:line="440" w:lineRule="exact"/>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lang w:bidi="ar"/>
        </w:rPr>
        <w:t>项目概况</w:t>
      </w:r>
    </w:p>
    <w:p w14:paraId="47C716C5">
      <w:pPr>
        <w:keepNext w:val="0"/>
        <w:keepLines w:val="0"/>
        <w:pageBreakBefore w:val="0"/>
        <w:widowControl/>
        <w:pBdr>
          <w:top w:val="single" w:color="auto" w:sz="4" w:space="1"/>
          <w:left w:val="single" w:color="auto" w:sz="4" w:space="4"/>
          <w:bottom w:val="single" w:color="auto" w:sz="4" w:space="1"/>
          <w:right w:val="single" w:color="auto" w:sz="4" w:space="4"/>
        </w:pBdr>
        <w:kinsoku/>
        <w:wordWrap w:val="0"/>
        <w:overflowPunct/>
        <w:topLinePunct w:val="0"/>
        <w:autoSpaceDE w:val="0"/>
        <w:autoSpaceDN/>
        <w:bidi w:val="0"/>
        <w:adjustRightInd/>
        <w:snapToGrid/>
        <w:spacing w:line="440" w:lineRule="exact"/>
        <w:ind w:firstLine="480" w:firstLineChars="200"/>
        <w:textAlignment w:val="auto"/>
        <w:rPr>
          <w:rFonts w:hint="eastAsia" w:ascii="宋体" w:hAnsi="宋体" w:cs="宋体"/>
          <w:color w:val="auto"/>
          <w:kern w:val="0"/>
          <w:sz w:val="24"/>
          <w:szCs w:val="24"/>
          <w:highlight w:val="yellow"/>
        </w:rPr>
      </w:pPr>
      <w:r>
        <w:rPr>
          <w:rFonts w:hint="eastAsia" w:ascii="宋体" w:hAnsi="宋体" w:cs="宋体"/>
          <w:color w:val="auto"/>
          <w:kern w:val="0"/>
          <w:sz w:val="24"/>
          <w:szCs w:val="24"/>
          <w:highlight w:val="none"/>
          <w:lang w:bidi="ar"/>
        </w:rPr>
        <w:t>长白山森林生态系统国家定位观测研究站改造提升建设项目仪器设备购置的潜在</w:t>
      </w:r>
      <w:r>
        <w:rPr>
          <w:rFonts w:hint="eastAsia" w:ascii="宋体" w:hAnsi="宋体" w:cs="宋体"/>
          <w:color w:val="auto"/>
          <w:kern w:val="0"/>
          <w:sz w:val="24"/>
          <w:szCs w:val="24"/>
          <w:highlight w:val="none"/>
          <w:lang w:eastAsia="zh-CN" w:bidi="ar"/>
        </w:rPr>
        <w:t>供应商</w:t>
      </w:r>
      <w:r>
        <w:rPr>
          <w:rFonts w:hint="eastAsia" w:ascii="宋体" w:hAnsi="宋体" w:cs="宋体"/>
          <w:color w:val="auto"/>
          <w:kern w:val="0"/>
          <w:sz w:val="24"/>
          <w:szCs w:val="24"/>
          <w:highlight w:val="none"/>
          <w:lang w:bidi="ar"/>
        </w:rPr>
        <w:t>应</w:t>
      </w:r>
      <w:r>
        <w:rPr>
          <w:rFonts w:hint="eastAsia" w:ascii="宋体" w:hAnsi="宋体" w:eastAsia="宋体" w:cs="宋体"/>
          <w:color w:val="auto"/>
          <w:spacing w:val="0"/>
          <w:kern w:val="0"/>
          <w:sz w:val="24"/>
          <w:szCs w:val="21"/>
          <w:highlight w:val="none"/>
          <w:lang w:val="en-US" w:eastAsia="zh-CN" w:bidi="ar-SA"/>
        </w:rPr>
        <w:t>在“政采云”平台(https://www.zcygov.cn/)</w:t>
      </w:r>
      <w:r>
        <w:rPr>
          <w:rFonts w:hint="eastAsia" w:ascii="宋体" w:hAnsi="宋体" w:cs="宋体"/>
          <w:color w:val="auto"/>
          <w:spacing w:val="0"/>
          <w:kern w:val="0"/>
          <w:sz w:val="24"/>
          <w:szCs w:val="21"/>
          <w:highlight w:val="none"/>
          <w:lang w:val="en-US" w:eastAsia="zh-CN" w:bidi="ar-SA"/>
        </w:rPr>
        <w:t>获取</w:t>
      </w:r>
      <w:r>
        <w:rPr>
          <w:rFonts w:hint="eastAsia" w:ascii="宋体" w:hAnsi="宋体" w:cs="宋体"/>
          <w:color w:val="auto"/>
          <w:kern w:val="0"/>
          <w:sz w:val="24"/>
          <w:szCs w:val="24"/>
          <w:highlight w:val="none"/>
          <w:lang w:bidi="ar"/>
        </w:rPr>
        <w:t>招标文件，并于</w:t>
      </w:r>
      <w:r>
        <w:rPr>
          <w:rFonts w:hint="eastAsia" w:ascii="宋体" w:hAnsi="宋体" w:cs="宋体"/>
          <w:color w:val="auto"/>
          <w:kern w:val="0"/>
          <w:sz w:val="24"/>
          <w:szCs w:val="24"/>
          <w:highlight w:val="none"/>
          <w:lang w:eastAsia="zh-CN" w:bidi="ar"/>
        </w:rPr>
        <w:t>2025年</w:t>
      </w:r>
      <w:r>
        <w:rPr>
          <w:rFonts w:hint="eastAsia" w:ascii="宋体" w:hAnsi="宋体" w:cs="宋体"/>
          <w:color w:val="auto"/>
          <w:kern w:val="0"/>
          <w:sz w:val="24"/>
          <w:szCs w:val="24"/>
          <w:highlight w:val="none"/>
          <w:lang w:val="en-US" w:eastAsia="zh-CN" w:bidi="ar"/>
        </w:rPr>
        <w:t>7</w:t>
      </w:r>
      <w:r>
        <w:rPr>
          <w:rFonts w:hint="eastAsia" w:ascii="宋体" w:hAnsi="宋体" w:cs="宋体"/>
          <w:color w:val="auto"/>
          <w:kern w:val="0"/>
          <w:sz w:val="24"/>
          <w:szCs w:val="24"/>
          <w:highlight w:val="none"/>
          <w:lang w:eastAsia="zh-CN" w:bidi="ar"/>
        </w:rPr>
        <w:t>月</w:t>
      </w:r>
      <w:r>
        <w:rPr>
          <w:rFonts w:hint="eastAsia" w:ascii="宋体" w:hAnsi="宋体" w:cs="宋体"/>
          <w:color w:val="auto"/>
          <w:kern w:val="0"/>
          <w:sz w:val="24"/>
          <w:szCs w:val="24"/>
          <w:highlight w:val="none"/>
          <w:lang w:val="en-US" w:eastAsia="zh-CN" w:bidi="ar"/>
        </w:rPr>
        <w:t>28</w:t>
      </w:r>
      <w:r>
        <w:rPr>
          <w:rFonts w:hint="eastAsia" w:ascii="宋体" w:hAnsi="宋体" w:cs="宋体"/>
          <w:color w:val="auto"/>
          <w:kern w:val="0"/>
          <w:sz w:val="24"/>
          <w:szCs w:val="24"/>
          <w:highlight w:val="none"/>
          <w:lang w:eastAsia="zh-CN" w:bidi="ar"/>
        </w:rPr>
        <w:t>日</w:t>
      </w:r>
      <w:r>
        <w:rPr>
          <w:rFonts w:hint="eastAsia" w:ascii="宋体" w:hAnsi="宋体" w:cs="宋体"/>
          <w:color w:val="auto"/>
          <w:kern w:val="0"/>
          <w:sz w:val="24"/>
          <w:szCs w:val="24"/>
          <w:highlight w:val="none"/>
          <w:lang w:val="en-US" w:eastAsia="zh-CN" w:bidi="ar"/>
        </w:rPr>
        <w:t>09</w:t>
      </w:r>
      <w:r>
        <w:rPr>
          <w:rFonts w:hint="eastAsia" w:ascii="宋体" w:hAnsi="宋体" w:cs="宋体"/>
          <w:color w:val="auto"/>
          <w:kern w:val="0"/>
          <w:sz w:val="24"/>
          <w:szCs w:val="24"/>
          <w:highlight w:val="none"/>
          <w:lang w:eastAsia="zh-CN" w:bidi="ar"/>
        </w:rPr>
        <w:t>时</w:t>
      </w:r>
      <w:r>
        <w:rPr>
          <w:rFonts w:hint="eastAsia" w:ascii="宋体" w:hAnsi="宋体" w:cs="宋体"/>
          <w:color w:val="auto"/>
          <w:kern w:val="0"/>
          <w:sz w:val="24"/>
          <w:szCs w:val="24"/>
          <w:highlight w:val="none"/>
          <w:lang w:val="en-US" w:eastAsia="zh-CN" w:bidi="ar"/>
        </w:rPr>
        <w:t>00</w:t>
      </w:r>
      <w:r>
        <w:rPr>
          <w:rFonts w:hint="eastAsia" w:ascii="宋体" w:hAnsi="宋体" w:cs="宋体"/>
          <w:color w:val="auto"/>
          <w:kern w:val="0"/>
          <w:sz w:val="24"/>
          <w:szCs w:val="24"/>
          <w:highlight w:val="none"/>
          <w:lang w:eastAsia="zh-CN" w:bidi="ar"/>
        </w:rPr>
        <w:t>分</w:t>
      </w:r>
      <w:r>
        <w:rPr>
          <w:rFonts w:hint="eastAsia" w:ascii="宋体" w:hAnsi="宋体" w:cs="宋体"/>
          <w:color w:val="auto"/>
          <w:kern w:val="0"/>
          <w:sz w:val="24"/>
          <w:szCs w:val="24"/>
          <w:highlight w:val="none"/>
          <w:lang w:bidi="ar"/>
        </w:rPr>
        <w:t>（北京时间）前提交投标文件。</w:t>
      </w:r>
    </w:p>
    <w:p w14:paraId="7F1143FC">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440" w:lineRule="exact"/>
        <w:ind w:left="0" w:right="0" w:firstLine="723" w:firstLineChars="300"/>
        <w:jc w:val="both"/>
        <w:textAlignment w:val="auto"/>
        <w:outlineLvl w:val="9"/>
        <w:rPr>
          <w:rFonts w:hint="eastAsia" w:ascii="宋体" w:hAnsi="宋体" w:cs="宋体"/>
          <w:b/>
          <w:color w:val="auto"/>
          <w:kern w:val="0"/>
          <w:sz w:val="24"/>
          <w:highlight w:val="none"/>
          <w:lang w:bidi="ar"/>
        </w:rPr>
      </w:pPr>
      <w:r>
        <w:rPr>
          <w:rFonts w:hint="eastAsia" w:ascii="宋体" w:hAnsi="宋体" w:cs="宋体"/>
          <w:b/>
          <w:color w:val="auto"/>
          <w:kern w:val="0"/>
          <w:sz w:val="24"/>
          <w:highlight w:val="none"/>
          <w:lang w:bidi="ar"/>
        </w:rPr>
        <w:t>一、项目基本情况</w:t>
      </w:r>
    </w:p>
    <w:p w14:paraId="0DFA4DB6">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440" w:lineRule="exact"/>
        <w:ind w:left="0" w:right="0" w:firstLine="720" w:firstLineChars="300"/>
        <w:jc w:val="both"/>
        <w:textAlignment w:val="auto"/>
        <w:outlineLvl w:val="9"/>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采购计划编号：</w:t>
      </w:r>
      <w:r>
        <w:rPr>
          <w:rFonts w:hint="eastAsia" w:ascii="宋体" w:hAnsi="宋体" w:eastAsia="宋体" w:cs="宋体"/>
          <w:color w:val="auto"/>
          <w:spacing w:val="0"/>
          <w:kern w:val="0"/>
          <w:sz w:val="24"/>
          <w:szCs w:val="24"/>
          <w:highlight w:val="none"/>
          <w:lang w:val="en-US" w:eastAsia="zh-CN" w:bidi="ar"/>
        </w:rPr>
        <w:fldChar w:fldCharType="begin"/>
      </w:r>
      <w:r>
        <w:rPr>
          <w:rFonts w:hint="eastAsia" w:ascii="宋体" w:hAnsi="宋体" w:eastAsia="宋体" w:cs="宋体"/>
          <w:color w:val="auto"/>
          <w:spacing w:val="0"/>
          <w:kern w:val="0"/>
          <w:sz w:val="24"/>
          <w:szCs w:val="24"/>
          <w:highlight w:val="none"/>
          <w:lang w:val="en-US" w:eastAsia="zh-CN" w:bidi="ar"/>
        </w:rPr>
        <w:instrText xml:space="preserve"> HYPERLINK "https://pay.zcygov.cn/purchaseplan_front/" \l "/plan/list/view?id=1000000000015923273&amp;_app_=zcy.procurement" \t "https://www.zcygov.cn/delegation-order/_procurement_/order/_blank" </w:instrText>
      </w:r>
      <w:r>
        <w:rPr>
          <w:rFonts w:hint="eastAsia" w:ascii="宋体" w:hAnsi="宋体" w:eastAsia="宋体" w:cs="宋体"/>
          <w:color w:val="auto"/>
          <w:spacing w:val="0"/>
          <w:kern w:val="0"/>
          <w:sz w:val="24"/>
          <w:szCs w:val="24"/>
          <w:highlight w:val="none"/>
          <w:lang w:val="en-US" w:eastAsia="zh-CN" w:bidi="ar"/>
        </w:rPr>
        <w:fldChar w:fldCharType="separate"/>
      </w:r>
      <w:r>
        <w:rPr>
          <w:rFonts w:hint="eastAsia" w:ascii="宋体" w:hAnsi="宋体" w:eastAsia="宋体" w:cs="宋体"/>
          <w:color w:val="auto"/>
          <w:spacing w:val="0"/>
          <w:kern w:val="0"/>
          <w:sz w:val="24"/>
          <w:szCs w:val="24"/>
          <w:highlight w:val="none"/>
          <w:lang w:val="en-US" w:eastAsia="zh-CN" w:bidi="ar"/>
        </w:rPr>
        <w:t>采购计划-[2025]-06702号</w:t>
      </w:r>
      <w:r>
        <w:rPr>
          <w:rFonts w:hint="eastAsia" w:ascii="宋体" w:hAnsi="宋体" w:eastAsia="宋体" w:cs="宋体"/>
          <w:color w:val="auto"/>
          <w:spacing w:val="0"/>
          <w:kern w:val="0"/>
          <w:sz w:val="24"/>
          <w:szCs w:val="24"/>
          <w:highlight w:val="none"/>
          <w:lang w:val="en-US" w:eastAsia="zh-CN" w:bidi="ar"/>
        </w:rPr>
        <w:fldChar w:fldCharType="end"/>
      </w:r>
    </w:p>
    <w:p w14:paraId="4F7D8304">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440" w:lineRule="exact"/>
        <w:ind w:left="0" w:right="0" w:firstLine="720" w:firstLineChars="300"/>
        <w:jc w:val="both"/>
        <w:textAlignment w:val="auto"/>
        <w:outlineLvl w:val="9"/>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项目编号：</w:t>
      </w:r>
      <w:r>
        <w:rPr>
          <w:rFonts w:hint="eastAsia" w:ascii="宋体" w:hAnsi="宋体" w:eastAsia="宋体" w:cs="宋体"/>
          <w:color w:val="auto"/>
          <w:spacing w:val="0"/>
          <w:kern w:val="0"/>
          <w:sz w:val="24"/>
          <w:szCs w:val="24"/>
          <w:highlight w:val="none"/>
          <w:lang w:val="en-US" w:eastAsia="zh-CN" w:bidi="ar"/>
        </w:rPr>
        <w:fldChar w:fldCharType="begin"/>
      </w:r>
      <w:r>
        <w:rPr>
          <w:rFonts w:hint="eastAsia" w:ascii="宋体" w:hAnsi="宋体" w:eastAsia="宋体" w:cs="宋体"/>
          <w:color w:val="auto"/>
          <w:spacing w:val="0"/>
          <w:kern w:val="0"/>
          <w:sz w:val="24"/>
          <w:szCs w:val="24"/>
          <w:highlight w:val="none"/>
          <w:lang w:val="en-US" w:eastAsia="zh-CN" w:bidi="ar"/>
        </w:rPr>
        <w:instrText xml:space="preserve"> HYPERLINK "https://pay.zcygov.cn/purchaseplan_front/" \l "/plan/list/view?id=1000000000015923273&amp;_app_=zcy.procurement" \t "https://www.zcygov.cn/delegation-order/_procurement_/order/_blank" </w:instrText>
      </w:r>
      <w:r>
        <w:rPr>
          <w:rFonts w:hint="eastAsia" w:ascii="宋体" w:hAnsi="宋体" w:eastAsia="宋体" w:cs="宋体"/>
          <w:color w:val="auto"/>
          <w:spacing w:val="0"/>
          <w:kern w:val="0"/>
          <w:sz w:val="24"/>
          <w:szCs w:val="24"/>
          <w:highlight w:val="none"/>
          <w:lang w:val="en-US" w:eastAsia="zh-CN" w:bidi="ar"/>
        </w:rPr>
        <w:fldChar w:fldCharType="separate"/>
      </w:r>
      <w:r>
        <w:rPr>
          <w:rFonts w:hint="eastAsia" w:ascii="宋体" w:hAnsi="宋体" w:eastAsia="宋体" w:cs="宋体"/>
          <w:color w:val="auto"/>
          <w:spacing w:val="0"/>
          <w:kern w:val="0"/>
          <w:sz w:val="24"/>
          <w:szCs w:val="24"/>
          <w:highlight w:val="none"/>
          <w:lang w:val="en-US" w:eastAsia="zh-CN" w:bidi="ar"/>
        </w:rPr>
        <w:t>采购计划-[2025]-06702号</w:t>
      </w:r>
      <w:r>
        <w:rPr>
          <w:rFonts w:hint="eastAsia" w:ascii="宋体" w:hAnsi="宋体" w:eastAsia="宋体" w:cs="宋体"/>
          <w:color w:val="auto"/>
          <w:spacing w:val="0"/>
          <w:kern w:val="0"/>
          <w:sz w:val="24"/>
          <w:szCs w:val="24"/>
          <w:highlight w:val="none"/>
          <w:lang w:val="en-US" w:eastAsia="zh-CN" w:bidi="ar"/>
        </w:rPr>
        <w:fldChar w:fldCharType="end"/>
      </w:r>
      <w:r>
        <w:rPr>
          <w:rFonts w:hint="eastAsia" w:ascii="宋体" w:hAnsi="宋体" w:eastAsia="宋体" w:cs="宋体"/>
          <w:color w:val="auto"/>
          <w:spacing w:val="0"/>
          <w:kern w:val="0"/>
          <w:sz w:val="24"/>
          <w:szCs w:val="24"/>
          <w:highlight w:val="none"/>
          <w:lang w:val="en-US" w:eastAsia="zh-CN" w:bidi="ar"/>
        </w:rPr>
        <w:t>-001</w:t>
      </w:r>
    </w:p>
    <w:p w14:paraId="7BCF2E55">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440" w:lineRule="exact"/>
        <w:ind w:left="0" w:right="0" w:firstLine="720" w:firstLineChars="300"/>
        <w:jc w:val="both"/>
        <w:textAlignment w:val="auto"/>
        <w:outlineLvl w:val="9"/>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项目名称：</w:t>
      </w:r>
      <w:r>
        <w:rPr>
          <w:rFonts w:hint="eastAsia" w:ascii="宋体" w:hAnsi="宋体" w:cs="宋体"/>
          <w:color w:val="auto"/>
          <w:kern w:val="0"/>
          <w:sz w:val="24"/>
          <w:szCs w:val="24"/>
          <w:highlight w:val="none"/>
          <w:lang w:bidi="ar"/>
        </w:rPr>
        <w:t>长白山森林生态系统国家定位观测研究站改造提升建设项目仪器设备购置</w:t>
      </w:r>
    </w:p>
    <w:p w14:paraId="7C2CCA79">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440" w:lineRule="exact"/>
        <w:ind w:left="0" w:right="0" w:firstLine="720" w:firstLineChars="300"/>
        <w:jc w:val="both"/>
        <w:textAlignment w:val="auto"/>
        <w:outlineLvl w:val="9"/>
        <w:rPr>
          <w:rFonts w:hint="default"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预算金额（最高限价）：5,449,600.00元人民币</w:t>
      </w:r>
    </w:p>
    <w:p w14:paraId="7F40107B">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440" w:lineRule="exact"/>
        <w:ind w:left="0" w:right="0" w:firstLine="720" w:firstLineChars="300"/>
        <w:jc w:val="both"/>
        <w:textAlignment w:val="auto"/>
        <w:outlineLvl w:val="9"/>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采购需求：购置观测仪器设备共计36台（套），具体详见招标文件“第四部分 采购需求和技术要求”</w:t>
      </w:r>
    </w:p>
    <w:p w14:paraId="584B73E1">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440" w:lineRule="exact"/>
        <w:ind w:left="0" w:right="0" w:firstLine="720" w:firstLineChars="300"/>
        <w:jc w:val="both"/>
        <w:textAlignment w:val="auto"/>
        <w:outlineLvl w:val="9"/>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供货期：自签订合同之日起</w:t>
      </w:r>
      <w:r>
        <w:rPr>
          <w:rFonts w:hint="eastAsia" w:ascii="宋体" w:hAnsi="宋体" w:eastAsia="宋体" w:cs="宋体"/>
          <w:color w:val="auto"/>
          <w:spacing w:val="0"/>
          <w:kern w:val="0"/>
          <w:sz w:val="24"/>
          <w:szCs w:val="24"/>
          <w:highlight w:val="none"/>
          <w:u w:val="single"/>
          <w:lang w:val="en-US" w:eastAsia="zh-CN" w:bidi="ar"/>
        </w:rPr>
        <w:t xml:space="preserve"> </w:t>
      </w:r>
      <w:r>
        <w:rPr>
          <w:rFonts w:hint="eastAsia" w:ascii="宋体" w:hAnsi="宋体" w:cs="宋体"/>
          <w:color w:val="auto"/>
          <w:spacing w:val="0"/>
          <w:kern w:val="0"/>
          <w:sz w:val="24"/>
          <w:szCs w:val="24"/>
          <w:highlight w:val="none"/>
          <w:u w:val="single"/>
          <w:lang w:val="en-US" w:eastAsia="zh-CN" w:bidi="ar"/>
        </w:rPr>
        <w:t>90</w:t>
      </w:r>
      <w:r>
        <w:rPr>
          <w:rFonts w:hint="eastAsia" w:ascii="宋体" w:hAnsi="宋体" w:eastAsia="宋体" w:cs="宋体"/>
          <w:color w:val="auto"/>
          <w:spacing w:val="0"/>
          <w:kern w:val="0"/>
          <w:sz w:val="24"/>
          <w:szCs w:val="24"/>
          <w:highlight w:val="none"/>
          <w:u w:val="single"/>
          <w:lang w:val="en-US" w:eastAsia="zh-CN" w:bidi="ar"/>
        </w:rPr>
        <w:t xml:space="preserve"> </w:t>
      </w:r>
      <w:r>
        <w:rPr>
          <w:rFonts w:hint="eastAsia" w:ascii="宋体" w:hAnsi="宋体" w:eastAsia="宋体" w:cs="宋体"/>
          <w:color w:val="auto"/>
          <w:spacing w:val="0"/>
          <w:kern w:val="0"/>
          <w:sz w:val="24"/>
          <w:szCs w:val="24"/>
          <w:highlight w:val="none"/>
          <w:lang w:val="en-US" w:eastAsia="zh-CN" w:bidi="ar"/>
        </w:rPr>
        <w:t>天（日历天）内完成供货、安装调试并投入使用</w:t>
      </w:r>
    </w:p>
    <w:p w14:paraId="4DC64E4B">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440" w:lineRule="exact"/>
        <w:ind w:left="0" w:right="0" w:firstLine="720" w:firstLineChars="300"/>
        <w:jc w:val="both"/>
        <w:textAlignment w:val="auto"/>
        <w:outlineLvl w:val="9"/>
        <w:rPr>
          <w:rFonts w:hint="default"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供货地点：</w:t>
      </w:r>
      <w:r>
        <w:rPr>
          <w:rFonts w:hint="eastAsia" w:ascii="宋体" w:hAnsi="宋体" w:cs="宋体"/>
          <w:color w:val="auto"/>
          <w:spacing w:val="0"/>
          <w:kern w:val="0"/>
          <w:sz w:val="24"/>
          <w:szCs w:val="24"/>
          <w:highlight w:val="none"/>
          <w:lang w:val="en-US" w:eastAsia="zh-CN" w:bidi="ar"/>
        </w:rPr>
        <w:t>采购人指定位置</w:t>
      </w:r>
    </w:p>
    <w:p w14:paraId="72F4AB69">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440" w:lineRule="exact"/>
        <w:ind w:left="0" w:right="0" w:firstLine="720" w:firstLineChars="300"/>
        <w:jc w:val="both"/>
        <w:textAlignment w:val="auto"/>
        <w:outlineLvl w:val="9"/>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质量标准：符合国家及相关行业合格标准</w:t>
      </w:r>
    </w:p>
    <w:p w14:paraId="245DDA45">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440" w:lineRule="exact"/>
        <w:ind w:left="0" w:right="0" w:firstLine="720" w:firstLineChars="300"/>
        <w:jc w:val="both"/>
        <w:textAlignment w:val="auto"/>
        <w:outlineLvl w:val="9"/>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本项目不接受联合体投标</w:t>
      </w:r>
    </w:p>
    <w:p w14:paraId="1432F547">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440" w:lineRule="exact"/>
        <w:ind w:left="0" w:right="0" w:firstLine="720" w:firstLineChars="300"/>
        <w:jc w:val="both"/>
        <w:textAlignment w:val="auto"/>
        <w:outlineLvl w:val="9"/>
        <w:rPr>
          <w:rFonts w:ascii="宋体" w:hAnsi="宋体" w:cs="宋体"/>
          <w:color w:val="auto"/>
          <w:kern w:val="0"/>
          <w:sz w:val="24"/>
          <w:highlight w:val="none"/>
        </w:rPr>
      </w:pPr>
      <w:r>
        <w:rPr>
          <w:rFonts w:hint="eastAsia" w:ascii="宋体" w:hAnsi="宋体" w:eastAsia="宋体" w:cs="宋体"/>
          <w:color w:val="auto"/>
          <w:spacing w:val="0"/>
          <w:kern w:val="0"/>
          <w:sz w:val="24"/>
          <w:szCs w:val="24"/>
          <w:highlight w:val="none"/>
          <w:lang w:val="en-US" w:eastAsia="zh-CN" w:bidi="ar"/>
        </w:rPr>
        <w:t>二、</w:t>
      </w:r>
      <w:r>
        <w:rPr>
          <w:rFonts w:hint="eastAsia" w:ascii="宋体" w:hAnsi="宋体" w:cs="宋体"/>
          <w:b/>
          <w:color w:val="auto"/>
          <w:kern w:val="0"/>
          <w:sz w:val="24"/>
          <w:highlight w:val="none"/>
          <w:lang w:eastAsia="zh-CN" w:bidi="ar"/>
        </w:rPr>
        <w:t>供应商</w:t>
      </w:r>
      <w:r>
        <w:rPr>
          <w:rFonts w:hint="eastAsia" w:ascii="宋体" w:hAnsi="宋体" w:cs="宋体"/>
          <w:b/>
          <w:color w:val="auto"/>
          <w:kern w:val="0"/>
          <w:sz w:val="24"/>
          <w:highlight w:val="none"/>
          <w:lang w:bidi="ar"/>
        </w:rPr>
        <w:t>的资格要求</w:t>
      </w:r>
    </w:p>
    <w:p w14:paraId="370A0316">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满足《中华人民共和国政府采购法》第二十二条规定</w:t>
      </w:r>
      <w:r>
        <w:rPr>
          <w:rFonts w:hint="eastAsia" w:ascii="宋体" w:hAnsi="宋体" w:eastAsia="宋体" w:cs="宋体"/>
          <w:color w:val="auto"/>
          <w:sz w:val="24"/>
          <w:szCs w:val="24"/>
          <w:highlight w:val="none"/>
          <w:lang w:eastAsia="zh-CN"/>
        </w:rPr>
        <w:t>：</w:t>
      </w:r>
    </w:p>
    <w:p w14:paraId="1178C0B1">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(1)具有独立承担民事责任的能力；</w:t>
      </w:r>
    </w:p>
    <w:p w14:paraId="5827CE78">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(2)具有良好的商业信誉和健全的财务会计制度；</w:t>
      </w:r>
    </w:p>
    <w:p w14:paraId="0FFC7CAD">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(3)具有履行合同所必需的设备和专业技术能力；</w:t>
      </w:r>
    </w:p>
    <w:p w14:paraId="29D34C7B">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(4)有依法缴纳税收和社会保障资金的良好记录；</w:t>
      </w:r>
    </w:p>
    <w:p w14:paraId="32507F56">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(5)参加政府采购活动前三年内，在经营活动中没有重大违法记录；</w:t>
      </w:r>
    </w:p>
    <w:p w14:paraId="02678055">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(6)法律、行政法规规定的其他条件。</w:t>
      </w:r>
    </w:p>
    <w:p w14:paraId="6C3CB1AC">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p>
    <w:p w14:paraId="545B6266">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（1）本项目为非专门面向中小企业的采购项目</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本项目所属行业为</w:t>
      </w:r>
      <w:r>
        <w:rPr>
          <w:rFonts w:hint="eastAsia" w:ascii="宋体" w:hAnsi="宋体" w:cs="宋体"/>
          <w:color w:val="auto"/>
          <w:sz w:val="24"/>
          <w:szCs w:val="24"/>
          <w:highlight w:val="none"/>
          <w:u w:val="single"/>
          <w:lang w:val="en-US" w:eastAsia="zh-CN"/>
        </w:rPr>
        <w:t>制造业</w:t>
      </w:r>
      <w:r>
        <w:rPr>
          <w:rFonts w:hint="eastAsia" w:ascii="宋体" w:hAnsi="宋体" w:eastAsia="宋体" w:cs="宋体"/>
          <w:color w:val="auto"/>
          <w:sz w:val="24"/>
          <w:szCs w:val="24"/>
          <w:highlight w:val="none"/>
          <w:lang w:val="en-US" w:eastAsia="zh-CN"/>
        </w:rPr>
        <w:t>；</w:t>
      </w:r>
    </w:p>
    <w:p w14:paraId="25A7D940">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（2）依据《中华人民共和国政府采购法》及《中华人民共和国政府采购法实施条例》的有关规定，落实政府采购政策，详见招标文件。</w:t>
      </w:r>
    </w:p>
    <w:p w14:paraId="381FFAEF">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①《政府采购促进中小企业发展管理办法》（财库[2020]46号）；</w:t>
      </w:r>
    </w:p>
    <w:p w14:paraId="68CD3535">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②《关于进一步加大政府采购支持中小企业力度的通知》财库〔2022〕19号；</w:t>
      </w:r>
    </w:p>
    <w:p w14:paraId="3F09D08C">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③《财政部司法部关于政府采购支持监狱企业发展有关问题的通知》（财库[2014]68号）；</w:t>
      </w:r>
    </w:p>
    <w:p w14:paraId="2E0B5F53">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④《关于促进残疾人就业政府采购政策的通知》（财库〔2017〕141号）；</w:t>
      </w:r>
    </w:p>
    <w:p w14:paraId="4F84D343">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⑤《关于调整优化节能产品、环境标志产品政府采购执行机制的通知》(财库[2019]9号)等国家最新政策。</w:t>
      </w:r>
    </w:p>
    <w:p w14:paraId="768A89B1">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49EFD2DB">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（1）投标人须是在中国境内注册具有独立承担民事责任能力的独立法人或其他组织形式，具备有效的营业执照，具有履行合同所必需的设备和专业技术能力；</w:t>
      </w:r>
    </w:p>
    <w:p w14:paraId="161FC9C3">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（2）投标人近三年（2022年-至今）财务状况良好。同时提供以下①②材料：</w:t>
      </w:r>
    </w:p>
    <w:p w14:paraId="53A8FE3B">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①2022年-2024年经会计师事务所或审计机构审计的财务审计报告，如投标人成立日期在2022年-2024年之间的，提供从成立之日起到2024年度经会计师事务所或审计机构审计的财务审计报告；②2025年1月1日至今的财务状况良好承诺。</w:t>
      </w:r>
    </w:p>
    <w:p w14:paraId="7EBBF582">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注：如投标人在2025年1月1日后成立的，只提供成立之日至今的财务状况良好承诺即可；</w:t>
      </w:r>
    </w:p>
    <w:p w14:paraId="0D953100">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（3）具有近三个月任意一个月依法缴纳税收的相关材料（提供纳税证明材料）；</w:t>
      </w:r>
    </w:p>
    <w:p w14:paraId="42763A96">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（4）具有近三个月任意一个月缴纳社会保障资金的相关材料（提供社会保障资金缴纳证明材料）；</w:t>
      </w:r>
    </w:p>
    <w:p w14:paraId="42CD2C65">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（5）参加政府采购活动前三年内在经营活动中没有重大违法记录；</w:t>
      </w:r>
    </w:p>
    <w:p w14:paraId="2637D443">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（6）投标人近三年（2022年1月1日-至今）内投标人、法定代表人未在“中国裁判文书网”（www.wenshu.court.gov.cn）有行贿犯罪记录；</w:t>
      </w:r>
    </w:p>
    <w:p w14:paraId="01E48C5D">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（7）拒绝列入政府取消投标资格记录期间的企业或个人投标；</w:t>
      </w:r>
    </w:p>
    <w:p w14:paraId="363837AA">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（8）投标人不能列入失信被执行人、重大税收违法案件当事人名单、政府采购严重违法失信行为记录名单（详见财库〔2016〕125号）；</w:t>
      </w:r>
    </w:p>
    <w:p w14:paraId="7A59D707">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（9）拒绝被工商行政管理机关在国家企业信用信息公示系统中列入严重违法失信企业名单的参与投标；</w:t>
      </w:r>
    </w:p>
    <w:p w14:paraId="675FC236">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10）与采购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均无效。</w:t>
      </w:r>
    </w:p>
    <w:p w14:paraId="3FC690DE">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440" w:lineRule="exact"/>
        <w:ind w:left="0" w:right="0" w:firstLine="723" w:firstLineChars="300"/>
        <w:jc w:val="both"/>
        <w:textAlignment w:val="auto"/>
        <w:outlineLvl w:val="9"/>
        <w:rPr>
          <w:rFonts w:hint="eastAsia" w:ascii="宋体" w:hAnsi="宋体" w:cs="宋体"/>
          <w:b/>
          <w:color w:val="auto"/>
          <w:kern w:val="0"/>
          <w:sz w:val="24"/>
          <w:highlight w:val="none"/>
          <w:lang w:bidi="ar"/>
        </w:rPr>
      </w:pPr>
      <w:r>
        <w:rPr>
          <w:rFonts w:hint="eastAsia" w:ascii="宋体" w:hAnsi="宋体" w:cs="宋体"/>
          <w:b/>
          <w:color w:val="auto"/>
          <w:kern w:val="0"/>
          <w:sz w:val="24"/>
          <w:highlight w:val="none"/>
          <w:lang w:bidi="ar"/>
        </w:rPr>
        <w:t>三、获取招标文件</w:t>
      </w:r>
    </w:p>
    <w:p w14:paraId="049AFB2E">
      <w:pPr>
        <w:autoSpaceDE w:val="0"/>
        <w:spacing w:line="44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时</w:t>
      </w:r>
      <w:r>
        <w:rPr>
          <w:rFonts w:hint="eastAsia" w:ascii="宋体" w:hAnsi="宋体" w:eastAsia="宋体" w:cs="宋体"/>
          <w:color w:val="auto"/>
          <w:kern w:val="0"/>
          <w:sz w:val="24"/>
          <w:szCs w:val="24"/>
          <w:highlight w:val="none"/>
          <w:lang w:bidi="ar"/>
        </w:rPr>
        <w:t>间：</w:t>
      </w:r>
      <w:r>
        <w:rPr>
          <w:rFonts w:hint="eastAsia" w:ascii="宋体" w:hAnsi="宋体" w:cs="宋体"/>
          <w:color w:val="auto"/>
          <w:kern w:val="0"/>
          <w:sz w:val="24"/>
          <w:szCs w:val="24"/>
          <w:highlight w:val="none"/>
          <w:lang w:eastAsia="zh-CN" w:bidi="ar"/>
        </w:rPr>
        <w:t>2025年</w:t>
      </w:r>
      <w:r>
        <w:rPr>
          <w:rFonts w:hint="eastAsia" w:ascii="宋体" w:hAnsi="宋体" w:cs="宋体"/>
          <w:color w:val="auto"/>
          <w:kern w:val="0"/>
          <w:sz w:val="24"/>
          <w:szCs w:val="24"/>
          <w:highlight w:val="none"/>
          <w:lang w:val="en-US" w:eastAsia="zh-CN" w:bidi="ar"/>
        </w:rPr>
        <w:t>07</w:t>
      </w:r>
      <w:r>
        <w:rPr>
          <w:rFonts w:hint="eastAsia" w:ascii="宋体" w:hAnsi="宋体" w:cs="宋体"/>
          <w:color w:val="auto"/>
          <w:kern w:val="0"/>
          <w:sz w:val="24"/>
          <w:szCs w:val="24"/>
          <w:highlight w:val="none"/>
          <w:lang w:eastAsia="zh-CN" w:bidi="ar"/>
        </w:rPr>
        <w:t>月</w:t>
      </w:r>
      <w:r>
        <w:rPr>
          <w:rFonts w:hint="eastAsia" w:ascii="宋体" w:hAnsi="宋体" w:cs="宋体"/>
          <w:color w:val="auto"/>
          <w:kern w:val="0"/>
          <w:sz w:val="24"/>
          <w:szCs w:val="24"/>
          <w:highlight w:val="none"/>
          <w:lang w:val="en-US" w:eastAsia="zh-CN" w:bidi="ar"/>
        </w:rPr>
        <w:t>03</w:t>
      </w:r>
      <w:r>
        <w:rPr>
          <w:rFonts w:hint="eastAsia" w:ascii="宋体" w:hAnsi="宋体" w:eastAsia="宋体" w:cs="宋体"/>
          <w:color w:val="auto"/>
          <w:kern w:val="0"/>
          <w:sz w:val="24"/>
          <w:szCs w:val="24"/>
          <w:highlight w:val="none"/>
          <w:lang w:bidi="ar"/>
        </w:rPr>
        <w:t>日至</w:t>
      </w:r>
      <w:r>
        <w:rPr>
          <w:rFonts w:hint="eastAsia" w:ascii="宋体" w:hAnsi="宋体" w:cs="宋体"/>
          <w:color w:val="auto"/>
          <w:kern w:val="0"/>
          <w:sz w:val="24"/>
          <w:szCs w:val="24"/>
          <w:highlight w:val="none"/>
          <w:lang w:eastAsia="zh-CN" w:bidi="ar"/>
        </w:rPr>
        <w:t>2025年</w:t>
      </w:r>
      <w:r>
        <w:rPr>
          <w:rFonts w:hint="eastAsia" w:ascii="宋体" w:hAnsi="宋体" w:cs="宋体"/>
          <w:color w:val="auto"/>
          <w:kern w:val="0"/>
          <w:sz w:val="24"/>
          <w:szCs w:val="24"/>
          <w:highlight w:val="none"/>
          <w:lang w:val="en-US" w:eastAsia="zh-CN" w:bidi="ar"/>
        </w:rPr>
        <w:t>07</w:t>
      </w:r>
      <w:r>
        <w:rPr>
          <w:rFonts w:hint="eastAsia" w:ascii="宋体" w:hAnsi="宋体" w:cs="宋体"/>
          <w:color w:val="auto"/>
          <w:kern w:val="0"/>
          <w:sz w:val="24"/>
          <w:szCs w:val="24"/>
          <w:highlight w:val="none"/>
          <w:lang w:eastAsia="zh-CN" w:bidi="ar"/>
        </w:rPr>
        <w:t>月</w:t>
      </w:r>
      <w:r>
        <w:rPr>
          <w:rFonts w:hint="eastAsia" w:ascii="宋体" w:hAnsi="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日， 每天上午08:</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0至11:30 ，下午</w:t>
      </w:r>
      <w:r>
        <w:rPr>
          <w:rFonts w:hint="eastAsia" w:ascii="宋体" w:hAnsi="宋体" w:cs="宋体"/>
          <w:color w:val="auto"/>
          <w:kern w:val="0"/>
          <w:sz w:val="24"/>
          <w:szCs w:val="24"/>
          <w:highlight w:val="none"/>
          <w:lang w:bidi="ar"/>
        </w:rPr>
        <w:t>13:</w:t>
      </w:r>
      <w:r>
        <w:rPr>
          <w:rFonts w:hint="eastAsia" w:ascii="宋体" w:hAnsi="宋体" w:cs="宋体"/>
          <w:color w:val="auto"/>
          <w:kern w:val="0"/>
          <w:sz w:val="24"/>
          <w:szCs w:val="24"/>
          <w:highlight w:val="none"/>
          <w:lang w:val="en-US" w:eastAsia="zh-CN" w:bidi="ar"/>
        </w:rPr>
        <w:t>0</w:t>
      </w:r>
      <w:r>
        <w:rPr>
          <w:rFonts w:hint="eastAsia" w:ascii="宋体" w:hAnsi="宋体" w:cs="宋体"/>
          <w:color w:val="auto"/>
          <w:kern w:val="0"/>
          <w:sz w:val="24"/>
          <w:szCs w:val="24"/>
          <w:highlight w:val="none"/>
          <w:lang w:bidi="ar"/>
        </w:rPr>
        <w:t>0至16:</w:t>
      </w:r>
      <w:r>
        <w:rPr>
          <w:rFonts w:hint="eastAsia" w:ascii="宋体" w:hAnsi="宋体" w:cs="宋体"/>
          <w:color w:val="auto"/>
          <w:kern w:val="0"/>
          <w:sz w:val="24"/>
          <w:szCs w:val="24"/>
          <w:highlight w:val="none"/>
          <w:lang w:val="en-US" w:eastAsia="zh-CN" w:bidi="ar"/>
        </w:rPr>
        <w:t>3</w:t>
      </w:r>
      <w:r>
        <w:rPr>
          <w:rFonts w:hint="eastAsia" w:ascii="宋体" w:hAnsi="宋体" w:cs="宋体"/>
          <w:color w:val="auto"/>
          <w:kern w:val="0"/>
          <w:sz w:val="24"/>
          <w:szCs w:val="24"/>
          <w:highlight w:val="none"/>
          <w:lang w:bidi="ar"/>
        </w:rPr>
        <w:t>0（北京时间，法定节假日除外）</w:t>
      </w:r>
    </w:p>
    <w:p w14:paraId="560950D1">
      <w:pPr>
        <w:autoSpaceDE w:val="0"/>
        <w:spacing w:line="440" w:lineRule="exact"/>
        <w:ind w:firstLine="480" w:firstLineChars="200"/>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地点：</w:t>
      </w:r>
      <w:r>
        <w:rPr>
          <w:rFonts w:hint="eastAsia" w:ascii="宋体" w:hAnsi="宋体" w:eastAsia="宋体" w:cs="宋体"/>
          <w:color w:val="auto"/>
          <w:sz w:val="24"/>
          <w:highlight w:val="none"/>
          <w:lang w:val="en-US" w:eastAsia="zh-CN"/>
        </w:rPr>
        <w:t>“政采云”平台（https://www.zcygov.cn）</w:t>
      </w:r>
    </w:p>
    <w:p w14:paraId="4F58B726">
      <w:pPr>
        <w:autoSpaceDE w:val="0"/>
        <w:spacing w:line="440" w:lineRule="exact"/>
        <w:ind w:firstLine="480" w:firstLineChars="200"/>
        <w:rPr>
          <w:rFonts w:hint="eastAsia" w:ascii="宋体" w:hAnsi="宋体" w:eastAsia="宋体" w:cs="宋体"/>
          <w:color w:val="0000FF"/>
          <w:sz w:val="24"/>
          <w:highlight w:val="none"/>
          <w:lang w:val="zh-CN" w:eastAsia="zh-CN"/>
        </w:rPr>
      </w:pPr>
      <w:r>
        <w:rPr>
          <w:rFonts w:hint="eastAsia" w:ascii="宋体" w:hAnsi="宋体" w:eastAsia="宋体" w:cs="宋体"/>
          <w:color w:val="0000FF"/>
          <w:sz w:val="24"/>
          <w:highlight w:val="none"/>
          <w:lang w:val="en-US" w:eastAsia="zh-CN"/>
        </w:rPr>
        <w:t>方式：网上免费获取。潜在供应商可自行在“政采云”平台（网址：http：//www.zcygov.cn）下载竞争性磋商文件（操作路径：登录“政采云”平台-项目采购-获取采购文件-找到本项目-点击“申请获取采购文件”），其他途径获取的采购文件开标时一律按无效投标处理。</w:t>
      </w:r>
    </w:p>
    <w:p w14:paraId="088C186C">
      <w:pPr>
        <w:autoSpaceDE w:val="0"/>
        <w:spacing w:line="44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售价：0</w:t>
      </w:r>
      <w:r>
        <w:rPr>
          <w:rFonts w:hint="eastAsia" w:ascii="宋体" w:hAnsi="宋体" w:cs="宋体"/>
          <w:color w:val="auto"/>
          <w:kern w:val="0"/>
          <w:sz w:val="24"/>
          <w:szCs w:val="24"/>
          <w:highlight w:val="none"/>
          <w:lang w:val="en-US" w:eastAsia="zh-CN" w:bidi="ar"/>
        </w:rPr>
        <w:t>.00元</w:t>
      </w:r>
    </w:p>
    <w:p w14:paraId="086D9868">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440" w:lineRule="exact"/>
        <w:ind w:left="0" w:right="0" w:firstLine="723" w:firstLineChars="300"/>
        <w:jc w:val="both"/>
        <w:textAlignment w:val="auto"/>
        <w:outlineLvl w:val="9"/>
        <w:rPr>
          <w:rFonts w:hint="eastAsia" w:ascii="宋体" w:hAnsi="宋体" w:cs="宋体"/>
          <w:b/>
          <w:color w:val="auto"/>
          <w:kern w:val="0"/>
          <w:sz w:val="24"/>
          <w:highlight w:val="none"/>
          <w:lang w:bidi="ar"/>
        </w:rPr>
      </w:pPr>
      <w:r>
        <w:rPr>
          <w:rFonts w:hint="eastAsia" w:ascii="宋体" w:hAnsi="宋体" w:cs="宋体"/>
          <w:b/>
          <w:color w:val="auto"/>
          <w:kern w:val="0"/>
          <w:sz w:val="24"/>
          <w:highlight w:val="none"/>
          <w:lang w:bidi="ar"/>
        </w:rPr>
        <w:t>四、提交投标文件截止时间、开标时间和地点</w:t>
      </w:r>
    </w:p>
    <w:p w14:paraId="797449E6">
      <w:pPr>
        <w:autoSpaceDE w:val="0"/>
        <w:spacing w:line="440" w:lineRule="exact"/>
        <w:ind w:firstLine="480" w:firstLineChars="200"/>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投标文件截止时间、开标时间：</w:t>
      </w:r>
      <w:r>
        <w:rPr>
          <w:rFonts w:hint="eastAsia" w:ascii="宋体" w:hAnsi="宋体" w:cs="宋体"/>
          <w:color w:val="auto"/>
          <w:kern w:val="0"/>
          <w:sz w:val="24"/>
          <w:szCs w:val="24"/>
          <w:highlight w:val="none"/>
          <w:lang w:eastAsia="zh-CN" w:bidi="ar"/>
        </w:rPr>
        <w:t>2025年</w:t>
      </w:r>
      <w:r>
        <w:rPr>
          <w:rFonts w:hint="eastAsia" w:ascii="宋体" w:hAnsi="宋体" w:cs="宋体"/>
          <w:color w:val="auto"/>
          <w:kern w:val="0"/>
          <w:sz w:val="24"/>
          <w:szCs w:val="24"/>
          <w:highlight w:val="none"/>
          <w:lang w:val="en-US" w:eastAsia="zh-CN" w:bidi="ar"/>
        </w:rPr>
        <w:t>7</w:t>
      </w:r>
      <w:r>
        <w:rPr>
          <w:rFonts w:hint="eastAsia" w:ascii="宋体" w:hAnsi="宋体" w:cs="宋体"/>
          <w:color w:val="auto"/>
          <w:kern w:val="0"/>
          <w:sz w:val="24"/>
          <w:szCs w:val="24"/>
          <w:highlight w:val="none"/>
          <w:lang w:eastAsia="zh-CN" w:bidi="ar"/>
        </w:rPr>
        <w:t>月</w:t>
      </w:r>
      <w:r>
        <w:rPr>
          <w:rFonts w:hint="eastAsia" w:ascii="宋体" w:hAnsi="宋体" w:cs="宋体"/>
          <w:color w:val="auto"/>
          <w:kern w:val="0"/>
          <w:sz w:val="24"/>
          <w:szCs w:val="24"/>
          <w:highlight w:val="none"/>
          <w:lang w:val="en-US" w:eastAsia="zh-CN" w:bidi="ar"/>
        </w:rPr>
        <w:t>28</w:t>
      </w:r>
      <w:r>
        <w:rPr>
          <w:rFonts w:hint="eastAsia" w:ascii="宋体" w:hAnsi="宋体" w:cs="宋体"/>
          <w:color w:val="auto"/>
          <w:kern w:val="0"/>
          <w:sz w:val="24"/>
          <w:szCs w:val="24"/>
          <w:highlight w:val="none"/>
          <w:lang w:eastAsia="zh-CN" w:bidi="ar"/>
        </w:rPr>
        <w:t>日</w:t>
      </w:r>
      <w:r>
        <w:rPr>
          <w:rFonts w:hint="eastAsia" w:ascii="宋体" w:hAnsi="宋体" w:cs="宋体"/>
          <w:color w:val="auto"/>
          <w:kern w:val="0"/>
          <w:sz w:val="24"/>
          <w:szCs w:val="24"/>
          <w:highlight w:val="none"/>
          <w:lang w:val="en-US" w:eastAsia="zh-CN" w:bidi="ar"/>
        </w:rPr>
        <w:t>09</w:t>
      </w:r>
      <w:r>
        <w:rPr>
          <w:rFonts w:hint="eastAsia" w:ascii="宋体" w:hAnsi="宋体" w:cs="宋体"/>
          <w:color w:val="auto"/>
          <w:kern w:val="0"/>
          <w:sz w:val="24"/>
          <w:szCs w:val="24"/>
          <w:highlight w:val="none"/>
          <w:lang w:eastAsia="zh-CN" w:bidi="ar"/>
        </w:rPr>
        <w:t>时</w:t>
      </w:r>
      <w:r>
        <w:rPr>
          <w:rFonts w:hint="eastAsia" w:ascii="宋体" w:hAnsi="宋体" w:cs="宋体"/>
          <w:color w:val="auto"/>
          <w:kern w:val="0"/>
          <w:sz w:val="24"/>
          <w:szCs w:val="24"/>
          <w:highlight w:val="none"/>
          <w:lang w:val="en-US" w:eastAsia="zh-CN" w:bidi="ar"/>
        </w:rPr>
        <w:t>00</w:t>
      </w:r>
      <w:r>
        <w:rPr>
          <w:rFonts w:hint="eastAsia" w:ascii="宋体" w:hAnsi="宋体" w:cs="宋体"/>
          <w:color w:val="auto"/>
          <w:kern w:val="0"/>
          <w:sz w:val="24"/>
          <w:szCs w:val="24"/>
          <w:highlight w:val="none"/>
          <w:lang w:eastAsia="zh-CN" w:bidi="ar"/>
        </w:rPr>
        <w:t>分</w:t>
      </w:r>
      <w:r>
        <w:rPr>
          <w:rFonts w:hint="eastAsia" w:ascii="宋体" w:hAnsi="宋体" w:cs="宋体"/>
          <w:color w:val="auto"/>
          <w:kern w:val="0"/>
          <w:sz w:val="24"/>
          <w:szCs w:val="24"/>
          <w:highlight w:val="none"/>
          <w:lang w:bidi="ar"/>
        </w:rPr>
        <w:t>（北京时间）</w:t>
      </w:r>
    </w:p>
    <w:p w14:paraId="204C8380">
      <w:pPr>
        <w:autoSpaceDE w:val="0"/>
        <w:spacing w:line="440" w:lineRule="exact"/>
        <w:ind w:firstLine="480" w:firstLineChars="200"/>
        <w:rPr>
          <w:rFonts w:hint="eastAsia" w:ascii="宋体" w:hAnsi="宋体" w:cs="宋体"/>
          <w:color w:val="auto"/>
          <w:kern w:val="0"/>
          <w:sz w:val="24"/>
          <w:szCs w:val="24"/>
          <w:highlight w:val="none"/>
        </w:rPr>
      </w:pPr>
      <w:r>
        <w:rPr>
          <w:rFonts w:hint="eastAsia" w:ascii="宋体" w:hAnsi="宋体" w:cs="宋体"/>
          <w:color w:val="0000FF"/>
          <w:kern w:val="0"/>
          <w:sz w:val="24"/>
          <w:szCs w:val="24"/>
          <w:highlight w:val="none"/>
          <w:lang w:bidi="ar"/>
        </w:rPr>
        <w:t>地点：长春市二道区洋浦大街6669号凯利中心AB栋101开标</w:t>
      </w:r>
      <w:r>
        <w:rPr>
          <w:rFonts w:hint="eastAsia" w:ascii="宋体" w:hAnsi="宋体" w:cs="宋体"/>
          <w:color w:val="0000FF"/>
          <w:kern w:val="0"/>
          <w:sz w:val="24"/>
          <w:szCs w:val="24"/>
          <w:highlight w:val="none"/>
          <w:lang w:val="en-US" w:eastAsia="zh-CN" w:bidi="ar"/>
        </w:rPr>
        <w:t>一</w:t>
      </w:r>
      <w:r>
        <w:rPr>
          <w:rFonts w:hint="eastAsia" w:ascii="宋体" w:hAnsi="宋体" w:cs="宋体"/>
          <w:color w:val="0000FF"/>
          <w:kern w:val="0"/>
          <w:sz w:val="24"/>
          <w:szCs w:val="24"/>
          <w:highlight w:val="none"/>
          <w:lang w:bidi="ar"/>
        </w:rPr>
        <w:t>室（吉林省同晟科技有限公司）。本项目为全流程电子化项目，通过“政采云”平台（http：//www.zcygov.cn）实行在线电子投标，供应商应先安装“政采云投标客户端”（请自行前往“政采云”平台进行下载），并按照本项目</w:t>
      </w:r>
      <w:r>
        <w:rPr>
          <w:rFonts w:hint="eastAsia" w:ascii="宋体" w:hAnsi="宋体" w:cs="宋体"/>
          <w:color w:val="0000FF"/>
          <w:kern w:val="0"/>
          <w:sz w:val="24"/>
          <w:szCs w:val="24"/>
          <w:highlight w:val="none"/>
          <w:lang w:val="en-US" w:eastAsia="zh-CN" w:bidi="ar"/>
        </w:rPr>
        <w:t>招标</w:t>
      </w:r>
      <w:r>
        <w:rPr>
          <w:rFonts w:hint="eastAsia" w:ascii="宋体" w:hAnsi="宋体" w:cs="宋体"/>
          <w:color w:val="0000FF"/>
          <w:kern w:val="0"/>
          <w:sz w:val="24"/>
          <w:szCs w:val="24"/>
          <w:highlight w:val="none"/>
          <w:lang w:bidi="ar"/>
        </w:rPr>
        <w:t>文件和“政采云”平台的要求编制、加密后在</w:t>
      </w:r>
      <w:r>
        <w:rPr>
          <w:rFonts w:hint="eastAsia" w:ascii="宋体" w:hAnsi="宋体" w:cs="宋体"/>
          <w:color w:val="0000FF"/>
          <w:kern w:val="0"/>
          <w:sz w:val="24"/>
          <w:szCs w:val="24"/>
          <w:highlight w:val="none"/>
          <w:lang w:val="en-US" w:eastAsia="zh-CN" w:bidi="ar"/>
        </w:rPr>
        <w:t>投标</w:t>
      </w:r>
      <w:r>
        <w:rPr>
          <w:rFonts w:hint="eastAsia" w:ascii="宋体" w:hAnsi="宋体" w:cs="宋体"/>
          <w:color w:val="0000FF"/>
          <w:kern w:val="0"/>
          <w:sz w:val="24"/>
          <w:szCs w:val="24"/>
          <w:highlight w:val="none"/>
          <w:lang w:bidi="ar"/>
        </w:rPr>
        <w:t>文件截止时间前通过网络上传至“政采云”平台，供应商在“政采云”平台提交电子版</w:t>
      </w:r>
      <w:r>
        <w:rPr>
          <w:rFonts w:hint="eastAsia" w:ascii="宋体" w:hAnsi="宋体" w:cs="宋体"/>
          <w:color w:val="0000FF"/>
          <w:kern w:val="0"/>
          <w:sz w:val="24"/>
          <w:szCs w:val="24"/>
          <w:highlight w:val="none"/>
          <w:lang w:val="en-US" w:eastAsia="zh-CN" w:bidi="ar"/>
        </w:rPr>
        <w:t>投标</w:t>
      </w:r>
      <w:r>
        <w:rPr>
          <w:rFonts w:hint="eastAsia" w:ascii="宋体" w:hAnsi="宋体" w:cs="宋体"/>
          <w:color w:val="0000FF"/>
          <w:kern w:val="0"/>
          <w:sz w:val="24"/>
          <w:szCs w:val="24"/>
          <w:highlight w:val="none"/>
          <w:lang w:bidi="ar"/>
        </w:rPr>
        <w:t>文件时，请填写参加采购活动经办人联系方式。开启时间后30分钟内完成解密。</w:t>
      </w:r>
    </w:p>
    <w:p w14:paraId="1B4AB73A">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440" w:lineRule="exact"/>
        <w:ind w:left="0" w:right="0" w:firstLine="723" w:firstLineChars="300"/>
        <w:jc w:val="both"/>
        <w:textAlignment w:val="auto"/>
        <w:outlineLvl w:val="9"/>
        <w:rPr>
          <w:rFonts w:hint="eastAsia" w:ascii="宋体" w:hAnsi="宋体" w:cs="宋体"/>
          <w:b/>
          <w:color w:val="auto"/>
          <w:kern w:val="0"/>
          <w:sz w:val="24"/>
          <w:highlight w:val="none"/>
          <w:lang w:bidi="ar"/>
        </w:rPr>
      </w:pPr>
      <w:r>
        <w:rPr>
          <w:rFonts w:hint="eastAsia" w:ascii="宋体" w:hAnsi="宋体" w:cs="宋体"/>
          <w:b/>
          <w:color w:val="auto"/>
          <w:kern w:val="0"/>
          <w:sz w:val="24"/>
          <w:highlight w:val="none"/>
          <w:lang w:bidi="ar"/>
        </w:rPr>
        <w:t>五、公告期限</w:t>
      </w:r>
    </w:p>
    <w:p w14:paraId="6ED61AB6">
      <w:pPr>
        <w:autoSpaceDE w:val="0"/>
        <w:spacing w:line="440" w:lineRule="exact"/>
        <w:ind w:firstLine="42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自本公告发布之日起5个工作日。</w:t>
      </w:r>
    </w:p>
    <w:p w14:paraId="499F8E5C">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440" w:lineRule="exact"/>
        <w:ind w:left="0" w:right="0" w:firstLine="723" w:firstLineChars="300"/>
        <w:jc w:val="both"/>
        <w:textAlignment w:val="auto"/>
        <w:outlineLvl w:val="9"/>
        <w:rPr>
          <w:rFonts w:hint="eastAsia" w:ascii="宋体" w:hAnsi="宋体" w:cs="宋体"/>
          <w:b/>
          <w:color w:val="auto"/>
          <w:kern w:val="0"/>
          <w:sz w:val="24"/>
          <w:highlight w:val="none"/>
          <w:lang w:bidi="ar"/>
        </w:rPr>
      </w:pPr>
      <w:r>
        <w:rPr>
          <w:rFonts w:hint="eastAsia" w:ascii="宋体" w:hAnsi="宋体" w:cs="宋体"/>
          <w:b/>
          <w:color w:val="auto"/>
          <w:kern w:val="0"/>
          <w:sz w:val="24"/>
          <w:highlight w:val="none"/>
          <w:lang w:bidi="ar"/>
        </w:rPr>
        <w:t>六、其它补充事宜</w:t>
      </w:r>
    </w:p>
    <w:p w14:paraId="78AF90BB">
      <w:pPr>
        <w:autoSpaceDE w:val="0"/>
        <w:spacing w:line="440" w:lineRule="exact"/>
        <w:ind w:firstLine="480" w:firstLineChars="200"/>
        <w:rPr>
          <w:rFonts w:hint="eastAsia" w:ascii="宋体" w:hAnsi="宋体" w:eastAsia="宋体" w:cs="宋体"/>
          <w:color w:val="0000FF"/>
          <w:kern w:val="0"/>
          <w:sz w:val="24"/>
          <w:szCs w:val="24"/>
          <w:highlight w:val="yellow"/>
          <w:lang w:bidi="ar"/>
        </w:rPr>
      </w:pPr>
      <w:r>
        <w:rPr>
          <w:rFonts w:hint="eastAsia" w:ascii="宋体" w:hAnsi="宋体" w:cs="宋体"/>
          <w:color w:val="0000FF"/>
          <w:kern w:val="0"/>
          <w:sz w:val="24"/>
          <w:szCs w:val="24"/>
          <w:highlight w:val="none"/>
          <w:lang w:val="en-US" w:eastAsia="zh-CN" w:bidi="ar"/>
        </w:rPr>
        <w:t>本次招标公告同时在“政采云”平台（http:// www.zcygov.cn）网上发布，同步推送到吉林省政府采购网（http://www.ccgp-jilin.gov.cn/）、吉林省公共资源交易服务平台、中国政府采购网，其他网站转载无效</w:t>
      </w:r>
      <w:r>
        <w:rPr>
          <w:rFonts w:hint="eastAsia" w:ascii="宋体" w:hAnsi="宋体" w:eastAsia="宋体" w:cs="宋体"/>
          <w:color w:val="0000FF"/>
          <w:kern w:val="0"/>
          <w:sz w:val="24"/>
          <w:szCs w:val="24"/>
          <w:highlight w:val="none"/>
          <w:lang w:eastAsia="zh-CN" w:bidi="ar"/>
        </w:rPr>
        <w:t>。</w:t>
      </w:r>
    </w:p>
    <w:p w14:paraId="2D37A6C5">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440" w:lineRule="exact"/>
        <w:ind w:left="0" w:right="0" w:firstLine="723" w:firstLineChars="300"/>
        <w:jc w:val="both"/>
        <w:textAlignment w:val="auto"/>
        <w:outlineLvl w:val="9"/>
        <w:rPr>
          <w:rFonts w:hint="eastAsia" w:ascii="宋体" w:hAnsi="宋体" w:cs="宋体"/>
          <w:b/>
          <w:color w:val="auto"/>
          <w:kern w:val="0"/>
          <w:sz w:val="24"/>
          <w:highlight w:val="none"/>
          <w:lang w:bidi="ar"/>
        </w:rPr>
      </w:pPr>
      <w:bookmarkStart w:id="2" w:name="_Toc35393636"/>
      <w:bookmarkEnd w:id="2"/>
      <w:bookmarkStart w:id="3" w:name="_Toc28359095"/>
      <w:bookmarkEnd w:id="3"/>
      <w:bookmarkStart w:id="4" w:name="_Toc28359018"/>
      <w:bookmarkEnd w:id="4"/>
      <w:bookmarkStart w:id="5" w:name="_Toc35393805"/>
      <w:r>
        <w:rPr>
          <w:rFonts w:hint="eastAsia" w:ascii="宋体" w:hAnsi="宋体" w:cs="宋体"/>
          <w:b/>
          <w:color w:val="auto"/>
          <w:kern w:val="0"/>
          <w:sz w:val="24"/>
          <w:highlight w:val="none"/>
          <w:lang w:bidi="ar"/>
        </w:rPr>
        <w:t>七、对本次</w:t>
      </w:r>
      <w:bookmarkEnd w:id="5"/>
      <w:r>
        <w:rPr>
          <w:rFonts w:hint="eastAsia" w:ascii="宋体" w:hAnsi="宋体" w:cs="宋体"/>
          <w:b/>
          <w:color w:val="auto"/>
          <w:kern w:val="0"/>
          <w:sz w:val="24"/>
          <w:highlight w:val="none"/>
          <w:lang w:bidi="ar"/>
        </w:rPr>
        <w:t>招标提出询问，请按以下方式联系</w:t>
      </w:r>
    </w:p>
    <w:p w14:paraId="68B8337F">
      <w:pPr>
        <w:autoSpaceDE w:val="0"/>
        <w:spacing w:line="440" w:lineRule="exact"/>
        <w:ind w:firstLine="480" w:firstLineChars="200"/>
        <w:rPr>
          <w:rFonts w:hint="eastAsia" w:ascii="宋体" w:hAnsi="宋体" w:cs="宋体"/>
          <w:color w:val="auto"/>
          <w:kern w:val="0"/>
          <w:sz w:val="24"/>
          <w:szCs w:val="24"/>
          <w:highlight w:val="none"/>
          <w:lang w:eastAsia="zh-CN" w:bidi="ar"/>
        </w:rPr>
      </w:pPr>
      <w:r>
        <w:rPr>
          <w:rFonts w:hint="eastAsia" w:ascii="宋体" w:hAnsi="宋体" w:cs="宋体"/>
          <w:color w:val="auto"/>
          <w:kern w:val="0"/>
          <w:sz w:val="24"/>
          <w:szCs w:val="24"/>
          <w:highlight w:val="none"/>
          <w:lang w:eastAsia="zh-CN" w:bidi="ar"/>
        </w:rPr>
        <w:t>1.采购人信息</w:t>
      </w:r>
    </w:p>
    <w:p w14:paraId="07E523C7">
      <w:pPr>
        <w:autoSpaceDE w:val="0"/>
        <w:spacing w:line="440" w:lineRule="exact"/>
        <w:ind w:firstLine="480" w:firstLineChars="200"/>
        <w:rPr>
          <w:rFonts w:hint="eastAsia" w:ascii="宋体" w:hAnsi="宋体" w:cs="宋体"/>
          <w:color w:val="auto"/>
          <w:kern w:val="0"/>
          <w:sz w:val="24"/>
          <w:szCs w:val="24"/>
          <w:highlight w:val="none"/>
          <w:lang w:eastAsia="zh-CN" w:bidi="ar"/>
        </w:rPr>
      </w:pPr>
      <w:r>
        <w:rPr>
          <w:rFonts w:hint="eastAsia" w:ascii="宋体" w:hAnsi="宋体" w:cs="宋体"/>
          <w:color w:val="auto"/>
          <w:kern w:val="0"/>
          <w:sz w:val="24"/>
          <w:szCs w:val="24"/>
          <w:highlight w:val="none"/>
          <w:lang w:eastAsia="zh-CN" w:bidi="ar"/>
        </w:rPr>
        <w:t>名称：吉林省林业科学研究院（吉林省林业生物防治中心站）</w:t>
      </w:r>
    </w:p>
    <w:p w14:paraId="73CC1378">
      <w:pPr>
        <w:autoSpaceDE w:val="0"/>
        <w:spacing w:line="440" w:lineRule="exact"/>
        <w:ind w:firstLine="480" w:firstLineChars="200"/>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eastAsia="zh-CN" w:bidi="ar"/>
        </w:rPr>
        <w:t>地址：</w:t>
      </w:r>
      <w:r>
        <w:rPr>
          <w:rFonts w:hint="eastAsia" w:ascii="宋体" w:hAnsi="宋体" w:cs="宋体"/>
          <w:color w:val="auto"/>
          <w:kern w:val="0"/>
          <w:sz w:val="24"/>
          <w:szCs w:val="24"/>
          <w:highlight w:val="none"/>
          <w:lang w:val="en-US" w:eastAsia="zh-CN" w:bidi="ar"/>
        </w:rPr>
        <w:t>吉林省长春市临河街3528号</w:t>
      </w:r>
    </w:p>
    <w:p w14:paraId="3A75BE85">
      <w:pPr>
        <w:autoSpaceDE w:val="0"/>
        <w:spacing w:line="440" w:lineRule="exact"/>
        <w:ind w:firstLine="480" w:firstLineChars="200"/>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eastAsia="zh-CN" w:bidi="ar"/>
        </w:rPr>
        <w:t>联系方式：</w:t>
      </w:r>
      <w:r>
        <w:rPr>
          <w:rFonts w:hint="eastAsia" w:ascii="宋体" w:hAnsi="宋体" w:cs="宋体"/>
          <w:color w:val="auto"/>
          <w:kern w:val="0"/>
          <w:sz w:val="24"/>
          <w:szCs w:val="24"/>
          <w:highlight w:val="none"/>
          <w:lang w:val="en-US" w:eastAsia="zh-CN" w:bidi="ar"/>
        </w:rPr>
        <w:t>张超凡0431-85850413</w:t>
      </w:r>
    </w:p>
    <w:p w14:paraId="0813F754">
      <w:pPr>
        <w:autoSpaceDE w:val="0"/>
        <w:spacing w:line="440" w:lineRule="exact"/>
        <w:ind w:firstLine="480" w:firstLineChars="200"/>
        <w:rPr>
          <w:rFonts w:hint="eastAsia" w:ascii="宋体" w:hAnsi="宋体" w:cs="宋体"/>
          <w:color w:val="auto"/>
          <w:kern w:val="0"/>
          <w:sz w:val="24"/>
          <w:szCs w:val="24"/>
          <w:highlight w:val="none"/>
          <w:lang w:eastAsia="zh-CN" w:bidi="ar"/>
        </w:rPr>
      </w:pPr>
      <w:r>
        <w:rPr>
          <w:rFonts w:hint="eastAsia" w:ascii="宋体" w:hAnsi="宋体" w:cs="宋体"/>
          <w:color w:val="auto"/>
          <w:kern w:val="0"/>
          <w:sz w:val="24"/>
          <w:szCs w:val="24"/>
          <w:highlight w:val="none"/>
          <w:lang w:eastAsia="zh-CN" w:bidi="ar"/>
        </w:rPr>
        <w:t>2.采购代理机构信息</w:t>
      </w:r>
    </w:p>
    <w:p w14:paraId="4B85BC47">
      <w:pPr>
        <w:autoSpaceDE w:val="0"/>
        <w:spacing w:line="440" w:lineRule="exact"/>
        <w:ind w:firstLine="480" w:firstLineChars="200"/>
        <w:rPr>
          <w:rFonts w:hint="eastAsia" w:ascii="宋体" w:hAnsi="宋体" w:cs="宋体"/>
          <w:color w:val="auto"/>
          <w:kern w:val="0"/>
          <w:sz w:val="24"/>
          <w:szCs w:val="24"/>
          <w:highlight w:val="none"/>
          <w:lang w:eastAsia="zh-CN" w:bidi="ar"/>
        </w:rPr>
      </w:pPr>
      <w:r>
        <w:rPr>
          <w:rFonts w:hint="eastAsia" w:ascii="宋体" w:hAnsi="宋体" w:cs="宋体"/>
          <w:color w:val="auto"/>
          <w:kern w:val="0"/>
          <w:sz w:val="24"/>
          <w:szCs w:val="24"/>
          <w:highlight w:val="none"/>
          <w:lang w:eastAsia="zh-CN" w:bidi="ar"/>
        </w:rPr>
        <w:t>名称：吉林省百利邦项目管理咨询有限公司</w:t>
      </w:r>
    </w:p>
    <w:p w14:paraId="5CB52A6D">
      <w:pPr>
        <w:autoSpaceDE w:val="0"/>
        <w:spacing w:line="440" w:lineRule="exact"/>
        <w:ind w:firstLine="480" w:firstLineChars="200"/>
        <w:rPr>
          <w:rFonts w:hint="eastAsia" w:ascii="宋体" w:hAnsi="宋体" w:cs="宋体"/>
          <w:color w:val="auto"/>
          <w:kern w:val="0"/>
          <w:sz w:val="24"/>
          <w:szCs w:val="24"/>
          <w:highlight w:val="none"/>
          <w:lang w:eastAsia="zh-CN" w:bidi="ar"/>
        </w:rPr>
      </w:pPr>
      <w:r>
        <w:rPr>
          <w:rFonts w:hint="eastAsia" w:ascii="宋体" w:hAnsi="宋体" w:cs="宋体"/>
          <w:color w:val="auto"/>
          <w:kern w:val="0"/>
          <w:sz w:val="24"/>
          <w:szCs w:val="24"/>
          <w:highlight w:val="none"/>
          <w:lang w:eastAsia="zh-CN" w:bidi="ar"/>
        </w:rPr>
        <w:t>地址：长春净月高新技术产业开发区生态东街3330号吉林省国家广告产业园</w:t>
      </w:r>
    </w:p>
    <w:p w14:paraId="22056A1F">
      <w:pPr>
        <w:autoSpaceDE w:val="0"/>
        <w:spacing w:line="440" w:lineRule="exact"/>
        <w:ind w:firstLine="480" w:firstLineChars="200"/>
        <w:rPr>
          <w:rFonts w:hint="eastAsia" w:ascii="宋体" w:hAnsi="宋体" w:cs="宋体"/>
          <w:color w:val="auto"/>
          <w:kern w:val="0"/>
          <w:sz w:val="24"/>
          <w:szCs w:val="24"/>
          <w:highlight w:val="none"/>
          <w:lang w:eastAsia="zh-CN" w:bidi="ar"/>
        </w:rPr>
      </w:pPr>
      <w:r>
        <w:rPr>
          <w:rFonts w:hint="eastAsia" w:ascii="宋体" w:hAnsi="宋体" w:cs="宋体"/>
          <w:color w:val="auto"/>
          <w:kern w:val="0"/>
          <w:sz w:val="24"/>
          <w:szCs w:val="24"/>
          <w:highlight w:val="none"/>
          <w:lang w:eastAsia="zh-CN" w:bidi="ar"/>
        </w:rPr>
        <w:t>联系方式：0431-81685832</w:t>
      </w:r>
    </w:p>
    <w:p w14:paraId="79904303">
      <w:pPr>
        <w:autoSpaceDE w:val="0"/>
        <w:spacing w:line="440" w:lineRule="exact"/>
        <w:ind w:firstLine="480" w:firstLineChars="200"/>
        <w:rPr>
          <w:rFonts w:hint="eastAsia" w:ascii="宋体" w:hAnsi="宋体" w:cs="宋体"/>
          <w:color w:val="auto"/>
          <w:kern w:val="0"/>
          <w:sz w:val="24"/>
          <w:szCs w:val="24"/>
          <w:highlight w:val="none"/>
          <w:lang w:eastAsia="zh-CN" w:bidi="ar"/>
        </w:rPr>
      </w:pPr>
      <w:r>
        <w:rPr>
          <w:rFonts w:hint="eastAsia" w:ascii="宋体" w:hAnsi="宋体" w:cs="宋体"/>
          <w:color w:val="auto"/>
          <w:kern w:val="0"/>
          <w:sz w:val="24"/>
          <w:szCs w:val="24"/>
          <w:highlight w:val="none"/>
          <w:lang w:eastAsia="zh-CN" w:bidi="ar"/>
        </w:rPr>
        <w:t>3.项目联系方式</w:t>
      </w:r>
    </w:p>
    <w:p w14:paraId="23AC3D1E">
      <w:pPr>
        <w:autoSpaceDE w:val="0"/>
        <w:spacing w:line="440" w:lineRule="exact"/>
        <w:ind w:firstLine="480" w:firstLineChars="200"/>
        <w:rPr>
          <w:rFonts w:hint="eastAsia" w:ascii="宋体" w:hAnsi="宋体" w:cs="宋体"/>
          <w:color w:val="auto"/>
          <w:kern w:val="0"/>
          <w:sz w:val="24"/>
          <w:szCs w:val="24"/>
          <w:highlight w:val="none"/>
          <w:lang w:eastAsia="zh-CN" w:bidi="ar"/>
        </w:rPr>
      </w:pPr>
      <w:r>
        <w:rPr>
          <w:rFonts w:hint="eastAsia" w:ascii="宋体" w:hAnsi="宋体" w:cs="宋体"/>
          <w:color w:val="auto"/>
          <w:kern w:val="0"/>
          <w:sz w:val="24"/>
          <w:szCs w:val="24"/>
          <w:highlight w:val="none"/>
          <w:lang w:eastAsia="zh-CN" w:bidi="ar"/>
        </w:rPr>
        <w:t>项目联系人：李洋</w:t>
      </w:r>
    </w:p>
    <w:p w14:paraId="4C210A45">
      <w:pPr>
        <w:autoSpaceDE w:val="0"/>
        <w:spacing w:line="440" w:lineRule="exact"/>
        <w:ind w:firstLine="480" w:firstLineChars="200"/>
        <w:rPr>
          <w:rFonts w:hint="eastAsia" w:ascii="宋体" w:hAnsi="宋体" w:cs="宋体"/>
          <w:color w:val="auto"/>
          <w:kern w:val="0"/>
          <w:sz w:val="24"/>
          <w:szCs w:val="24"/>
          <w:highlight w:val="none"/>
          <w:lang w:eastAsia="zh-CN" w:bidi="ar"/>
        </w:rPr>
      </w:pPr>
      <w:r>
        <w:rPr>
          <w:rFonts w:hint="eastAsia" w:ascii="宋体" w:hAnsi="宋体" w:cs="宋体"/>
          <w:color w:val="auto"/>
          <w:kern w:val="0"/>
          <w:sz w:val="24"/>
          <w:szCs w:val="24"/>
          <w:highlight w:val="none"/>
          <w:lang w:eastAsia="zh-CN" w:bidi="ar"/>
        </w:rPr>
        <w:t>电话：0431-81685832</w:t>
      </w:r>
    </w:p>
    <w:p w14:paraId="7FEEFE56">
      <w:pPr>
        <w:autoSpaceDE w:val="0"/>
        <w:spacing w:line="440" w:lineRule="exact"/>
        <w:ind w:firstLine="480" w:firstLineChars="200"/>
        <w:rPr>
          <w:rFonts w:hint="eastAsia" w:ascii="宋体" w:hAnsi="宋体" w:cs="宋体"/>
          <w:color w:val="auto"/>
          <w:kern w:val="0"/>
          <w:sz w:val="24"/>
          <w:szCs w:val="24"/>
          <w:highlight w:val="none"/>
          <w:lang w:eastAsia="zh-CN" w:bidi="ar"/>
        </w:rPr>
      </w:pPr>
      <w:r>
        <w:rPr>
          <w:rFonts w:hint="eastAsia" w:ascii="宋体" w:hAnsi="宋体" w:cs="宋体"/>
          <w:color w:val="auto"/>
          <w:kern w:val="0"/>
          <w:sz w:val="24"/>
          <w:szCs w:val="24"/>
          <w:highlight w:val="none"/>
          <w:lang w:eastAsia="zh-CN" w:bidi="ar"/>
        </w:rPr>
        <w:t>监督部门：吉林省财政厅政府采购管理处</w:t>
      </w:r>
    </w:p>
    <w:p w14:paraId="332DDCD6">
      <w:pPr>
        <w:autoSpaceDE w:val="0"/>
        <w:spacing w:line="440" w:lineRule="exact"/>
        <w:ind w:firstLine="480" w:firstLineChars="200"/>
        <w:rPr>
          <w:rFonts w:hint="default" w:ascii="宋体" w:hAnsi="宋体" w:cs="宋体"/>
          <w:color w:val="auto"/>
          <w:kern w:val="0"/>
          <w:sz w:val="24"/>
          <w:szCs w:val="24"/>
          <w:highlight w:val="yellow"/>
          <w:lang w:val="en-US" w:eastAsia="zh-CN" w:bidi="ar"/>
        </w:rPr>
      </w:pPr>
    </w:p>
    <w:p w14:paraId="77F67B86">
      <w:pPr>
        <w:rPr>
          <w:rFonts w:hint="eastAsia" w:ascii="宋体" w:hAnsi="宋体" w:eastAsia="宋体" w:cs="宋体"/>
          <w:color w:val="auto"/>
          <w:highlight w:val="yellow"/>
        </w:rPr>
      </w:pPr>
      <w:r>
        <w:rPr>
          <w:rFonts w:hint="eastAsia" w:ascii="宋体" w:hAnsi="宋体" w:eastAsia="宋体" w:cs="宋体"/>
          <w:color w:val="auto"/>
          <w:highlight w:val="yellow"/>
        </w:rPr>
        <w:br w:type="page"/>
      </w:r>
    </w:p>
    <w:p w14:paraId="13EAA100">
      <w:pPr>
        <w:rPr>
          <w:rFonts w:hint="eastAsia" w:ascii="宋体" w:hAnsi="宋体" w:eastAsia="宋体" w:cs="宋体"/>
          <w:color w:val="auto"/>
          <w:highlight w:val="yellow"/>
        </w:rPr>
      </w:pPr>
    </w:p>
    <w:p w14:paraId="78DD1902">
      <w:pPr>
        <w:pStyle w:val="4"/>
        <w:keepNext/>
        <w:keepLines/>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36"/>
          <w:szCs w:val="36"/>
          <w:highlight w:val="none"/>
        </w:rPr>
      </w:pPr>
      <w:bookmarkStart w:id="6" w:name="_Toc28014"/>
      <w:r>
        <w:rPr>
          <w:rFonts w:hint="eastAsia" w:ascii="宋体" w:hAnsi="宋体" w:eastAsia="宋体" w:cs="宋体"/>
          <w:color w:val="auto"/>
          <w:sz w:val="36"/>
          <w:szCs w:val="36"/>
          <w:highlight w:val="none"/>
        </w:rPr>
        <w:t>第二部分  供应商须知</w:t>
      </w:r>
      <w:bookmarkEnd w:id="6"/>
    </w:p>
    <w:p w14:paraId="1D3CEB4D">
      <w:pPr>
        <w:pStyle w:val="11"/>
        <w:pageBreakBefore w:val="0"/>
        <w:kinsoku/>
        <w:overflowPunct/>
        <w:topLinePunct w:val="0"/>
        <w:bidi w:val="0"/>
        <w:spacing w:line="288"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一、供应商须知前附表</w:t>
      </w:r>
    </w:p>
    <w:tbl>
      <w:tblPr>
        <w:tblStyle w:val="45"/>
        <w:tblW w:w="9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692"/>
        <w:gridCol w:w="7050"/>
      </w:tblGrid>
      <w:tr w14:paraId="7761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222" w:type="dxa"/>
            <w:noWrap w:val="0"/>
            <w:vAlign w:val="center"/>
          </w:tcPr>
          <w:p w14:paraId="2CF41CEF">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序号</w:t>
            </w:r>
          </w:p>
        </w:tc>
        <w:tc>
          <w:tcPr>
            <w:tcW w:w="1692" w:type="dxa"/>
            <w:noWrap w:val="0"/>
            <w:vAlign w:val="center"/>
          </w:tcPr>
          <w:p w14:paraId="66001C56">
            <w:pPr>
              <w:pStyle w:val="29"/>
              <w:keepNext w:val="0"/>
              <w:keepLines w:val="0"/>
              <w:pageBreakBefore w:val="0"/>
              <w:widowControl w:val="0"/>
              <w:pBdr>
                <w:bottom w:val="none" w:color="auto" w:sz="0" w:space="0"/>
              </w:pBdr>
              <w:tabs>
                <w:tab w:val="clear" w:pos="4153"/>
                <w:tab w:val="clear" w:pos="8306"/>
              </w:tabs>
              <w:kinsoku/>
              <w:wordWrap w:val="0"/>
              <w:overflowPunct/>
              <w:topLinePunct w:val="0"/>
              <w:autoSpaceDE/>
              <w:autoSpaceDN/>
              <w:bidi w:val="0"/>
              <w:adjustRightInd w:val="0"/>
              <w:snapToGrid/>
              <w:spacing w:line="440" w:lineRule="exact"/>
              <w:textAlignment w:val="auto"/>
              <w:rPr>
                <w:rFonts w:hint="eastAsia" w:ascii="宋体" w:hAnsi="宋体" w:eastAsia="宋体" w:cs="宋体"/>
                <w:b/>
                <w:color w:val="auto"/>
                <w:kern w:val="2"/>
                <w:sz w:val="24"/>
                <w:szCs w:val="24"/>
                <w:highlight w:val="none"/>
                <w:lang w:val="zh-CN" w:eastAsia="zh-CN"/>
              </w:rPr>
            </w:pPr>
            <w:r>
              <w:rPr>
                <w:rFonts w:hint="eastAsia" w:ascii="宋体" w:hAnsi="宋体" w:eastAsia="宋体" w:cs="宋体"/>
                <w:b/>
                <w:color w:val="auto"/>
                <w:kern w:val="2"/>
                <w:sz w:val="24"/>
                <w:szCs w:val="24"/>
                <w:highlight w:val="none"/>
                <w:lang w:val="zh-CN" w:eastAsia="zh-CN"/>
              </w:rPr>
              <w:t>条款名称</w:t>
            </w:r>
          </w:p>
        </w:tc>
        <w:tc>
          <w:tcPr>
            <w:tcW w:w="7050" w:type="dxa"/>
            <w:noWrap w:val="0"/>
            <w:vAlign w:val="center"/>
          </w:tcPr>
          <w:p w14:paraId="3A700879">
            <w:pPr>
              <w:pStyle w:val="29"/>
              <w:keepNext w:val="0"/>
              <w:keepLines w:val="0"/>
              <w:pageBreakBefore w:val="0"/>
              <w:widowControl w:val="0"/>
              <w:pBdr>
                <w:bottom w:val="none" w:color="auto" w:sz="0" w:space="0"/>
              </w:pBdr>
              <w:tabs>
                <w:tab w:val="clear" w:pos="4153"/>
                <w:tab w:val="clear" w:pos="8306"/>
              </w:tabs>
              <w:kinsoku/>
              <w:wordWrap w:val="0"/>
              <w:overflowPunct/>
              <w:topLinePunct w:val="0"/>
              <w:autoSpaceDE/>
              <w:autoSpaceDN/>
              <w:bidi w:val="0"/>
              <w:adjustRightInd w:val="0"/>
              <w:snapToGrid/>
              <w:spacing w:line="440" w:lineRule="exact"/>
              <w:textAlignment w:val="auto"/>
              <w:rPr>
                <w:rFonts w:hint="eastAsia" w:ascii="宋体" w:hAnsi="宋体" w:eastAsia="宋体" w:cs="宋体"/>
                <w:b/>
                <w:color w:val="auto"/>
                <w:kern w:val="2"/>
                <w:sz w:val="24"/>
                <w:szCs w:val="24"/>
                <w:highlight w:val="none"/>
                <w:lang w:val="zh-CN" w:eastAsia="zh-CN"/>
              </w:rPr>
            </w:pPr>
            <w:r>
              <w:rPr>
                <w:rFonts w:hint="eastAsia" w:ascii="宋体" w:hAnsi="宋体" w:eastAsia="宋体" w:cs="宋体"/>
                <w:b/>
                <w:color w:val="auto"/>
                <w:kern w:val="2"/>
                <w:sz w:val="24"/>
                <w:szCs w:val="24"/>
                <w:highlight w:val="none"/>
                <w:lang w:val="zh-CN" w:eastAsia="zh-CN"/>
              </w:rPr>
              <w:t>编列内容</w:t>
            </w:r>
          </w:p>
        </w:tc>
      </w:tr>
      <w:tr w14:paraId="5826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3F7EF601">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1.1.2</w:t>
            </w:r>
          </w:p>
        </w:tc>
        <w:tc>
          <w:tcPr>
            <w:tcW w:w="1692" w:type="dxa"/>
            <w:noWrap w:val="0"/>
            <w:vAlign w:val="center"/>
          </w:tcPr>
          <w:p w14:paraId="548579C5">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采购人</w:t>
            </w:r>
          </w:p>
        </w:tc>
        <w:tc>
          <w:tcPr>
            <w:tcW w:w="7050" w:type="dxa"/>
            <w:noWrap w:val="0"/>
            <w:vAlign w:val="top"/>
          </w:tcPr>
          <w:p w14:paraId="363E028D">
            <w:pPr>
              <w:autoSpaceDE w:val="0"/>
              <w:spacing w:line="440" w:lineRule="exact"/>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名    称：吉林省林业科学研究院（吉林省林业生物防治中心站）</w:t>
            </w:r>
          </w:p>
          <w:p w14:paraId="735F7BE9">
            <w:pPr>
              <w:autoSpaceDE w:val="0"/>
              <w:spacing w:line="440" w:lineRule="exac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地    址：</w:t>
            </w:r>
            <w:r>
              <w:rPr>
                <w:rFonts w:hint="eastAsia" w:ascii="宋体" w:hAnsi="宋体" w:cs="宋体"/>
                <w:color w:val="auto"/>
                <w:kern w:val="0"/>
                <w:sz w:val="24"/>
                <w:szCs w:val="24"/>
                <w:highlight w:val="none"/>
                <w:lang w:val="en-US" w:eastAsia="zh-CN" w:bidi="ar"/>
              </w:rPr>
              <w:t>吉林省长春市临河街3528号</w:t>
            </w:r>
          </w:p>
          <w:p w14:paraId="5814F335">
            <w:pPr>
              <w:keepNext w:val="0"/>
              <w:keepLines w:val="0"/>
              <w:pageBreakBefore w:val="0"/>
              <w:widowControl w:val="0"/>
              <w:kinsoku/>
              <w:wordWrap w:val="0"/>
              <w:overflowPunct/>
              <w:topLinePunct w:val="0"/>
              <w:autoSpaceDE/>
              <w:autoSpaceDN/>
              <w:bidi w:val="0"/>
              <w:spacing w:line="440" w:lineRule="exact"/>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color w:val="auto"/>
                <w:kern w:val="0"/>
                <w:sz w:val="24"/>
                <w:szCs w:val="24"/>
                <w:highlight w:val="none"/>
                <w:lang w:bidi="ar"/>
              </w:rPr>
              <w:t>联系方式：</w:t>
            </w:r>
            <w:r>
              <w:rPr>
                <w:rFonts w:hint="eastAsia" w:ascii="宋体" w:hAnsi="宋体" w:cs="宋体"/>
                <w:color w:val="auto"/>
                <w:kern w:val="0"/>
                <w:sz w:val="24"/>
                <w:szCs w:val="24"/>
                <w:highlight w:val="none"/>
                <w:lang w:val="en-US" w:eastAsia="zh-CN" w:bidi="ar"/>
              </w:rPr>
              <w:t>张超凡0431-85850413</w:t>
            </w:r>
          </w:p>
        </w:tc>
      </w:tr>
      <w:tr w14:paraId="00F4F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39FF4BA8">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1.1.3</w:t>
            </w:r>
          </w:p>
        </w:tc>
        <w:tc>
          <w:tcPr>
            <w:tcW w:w="1692" w:type="dxa"/>
            <w:noWrap w:val="0"/>
            <w:vAlign w:val="center"/>
          </w:tcPr>
          <w:p w14:paraId="60EC2689">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采购代理机构</w:t>
            </w:r>
          </w:p>
        </w:tc>
        <w:tc>
          <w:tcPr>
            <w:tcW w:w="7050" w:type="dxa"/>
            <w:noWrap w:val="0"/>
            <w:vAlign w:val="center"/>
          </w:tcPr>
          <w:p w14:paraId="0ABD23B2">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cs="宋体"/>
                <w:color w:val="auto"/>
                <w:kern w:val="0"/>
                <w:sz w:val="24"/>
                <w:szCs w:val="24"/>
                <w:highlight w:val="none"/>
                <w:lang w:eastAsia="zh-CN" w:bidi="ar"/>
              </w:rPr>
            </w:pPr>
            <w:r>
              <w:rPr>
                <w:rFonts w:hint="eastAsia" w:ascii="宋体" w:hAnsi="宋体" w:cs="宋体"/>
                <w:color w:val="auto"/>
                <w:kern w:val="0"/>
                <w:sz w:val="24"/>
                <w:szCs w:val="24"/>
                <w:highlight w:val="none"/>
                <w:lang w:eastAsia="zh-CN" w:bidi="ar"/>
              </w:rPr>
              <w:t>名</w:t>
            </w:r>
            <w:r>
              <w:rPr>
                <w:rFonts w:hint="eastAsia" w:ascii="宋体" w:hAnsi="宋体" w:cs="宋体"/>
                <w:color w:val="auto"/>
                <w:kern w:val="0"/>
                <w:sz w:val="24"/>
                <w:szCs w:val="24"/>
                <w:highlight w:val="none"/>
                <w:lang w:val="en-US" w:eastAsia="zh-CN" w:bidi="ar"/>
              </w:rPr>
              <w:t>称</w:t>
            </w:r>
            <w:r>
              <w:rPr>
                <w:rFonts w:hint="eastAsia" w:ascii="宋体" w:hAnsi="宋体" w:cs="宋体"/>
                <w:color w:val="auto"/>
                <w:kern w:val="0"/>
                <w:sz w:val="24"/>
                <w:szCs w:val="24"/>
                <w:highlight w:val="none"/>
                <w:lang w:eastAsia="zh-CN" w:bidi="ar"/>
              </w:rPr>
              <w:t>：吉林省百利邦项目管理咨询有限公司</w:t>
            </w:r>
          </w:p>
          <w:p w14:paraId="30AA449B">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cs="宋体"/>
                <w:color w:val="auto"/>
                <w:kern w:val="0"/>
                <w:sz w:val="24"/>
                <w:szCs w:val="24"/>
                <w:highlight w:val="none"/>
                <w:lang w:eastAsia="zh-CN" w:bidi="ar"/>
              </w:rPr>
            </w:pPr>
            <w:r>
              <w:rPr>
                <w:rFonts w:hint="eastAsia" w:ascii="宋体" w:hAnsi="宋体" w:cs="宋体"/>
                <w:color w:val="auto"/>
                <w:kern w:val="0"/>
                <w:sz w:val="24"/>
                <w:szCs w:val="24"/>
                <w:highlight w:val="none"/>
                <w:lang w:eastAsia="zh-CN" w:bidi="ar"/>
              </w:rPr>
              <w:t>地</w:t>
            </w:r>
            <w:r>
              <w:rPr>
                <w:rFonts w:hint="eastAsia" w:ascii="宋体" w:hAnsi="宋体" w:cs="宋体"/>
                <w:color w:val="auto"/>
                <w:kern w:val="0"/>
                <w:sz w:val="24"/>
                <w:szCs w:val="24"/>
                <w:highlight w:val="none"/>
                <w:lang w:val="en-US" w:eastAsia="zh-CN" w:bidi="ar"/>
              </w:rPr>
              <w:t>址</w:t>
            </w:r>
            <w:r>
              <w:rPr>
                <w:rFonts w:hint="eastAsia" w:ascii="宋体" w:hAnsi="宋体" w:cs="宋体"/>
                <w:color w:val="auto"/>
                <w:kern w:val="0"/>
                <w:sz w:val="24"/>
                <w:szCs w:val="24"/>
                <w:highlight w:val="none"/>
                <w:lang w:eastAsia="zh-CN" w:bidi="ar"/>
              </w:rPr>
              <w:t>：长春净月高新技术产业开发区生态东街3330号吉林省国家广告产业园</w:t>
            </w:r>
          </w:p>
          <w:p w14:paraId="3367D51C">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cs="宋体"/>
                <w:color w:val="auto"/>
                <w:kern w:val="0"/>
                <w:sz w:val="24"/>
                <w:szCs w:val="24"/>
                <w:highlight w:val="none"/>
                <w:lang w:eastAsia="zh-CN" w:bidi="ar"/>
              </w:rPr>
            </w:pPr>
            <w:r>
              <w:rPr>
                <w:rFonts w:hint="eastAsia" w:ascii="宋体" w:hAnsi="宋体" w:cs="宋体"/>
                <w:color w:val="auto"/>
                <w:kern w:val="0"/>
                <w:sz w:val="24"/>
                <w:szCs w:val="24"/>
                <w:highlight w:val="none"/>
                <w:lang w:eastAsia="zh-CN" w:bidi="ar"/>
              </w:rPr>
              <w:t>联系人：李洋</w:t>
            </w:r>
          </w:p>
          <w:p w14:paraId="1D3870EE">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cs="宋体"/>
                <w:color w:val="auto"/>
                <w:kern w:val="0"/>
                <w:sz w:val="24"/>
                <w:szCs w:val="24"/>
                <w:highlight w:val="none"/>
                <w:lang w:eastAsia="zh-CN" w:bidi="ar"/>
              </w:rPr>
            </w:pPr>
            <w:r>
              <w:rPr>
                <w:rFonts w:hint="eastAsia" w:ascii="宋体" w:hAnsi="宋体" w:cs="宋体"/>
                <w:color w:val="auto"/>
                <w:kern w:val="0"/>
                <w:sz w:val="24"/>
                <w:szCs w:val="24"/>
                <w:highlight w:val="none"/>
                <w:lang w:eastAsia="zh-CN" w:bidi="ar"/>
              </w:rPr>
              <w:t>联系方式：0431-81685832</w:t>
            </w:r>
          </w:p>
        </w:tc>
      </w:tr>
      <w:tr w14:paraId="6D19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7CEDB153">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1.1.4</w:t>
            </w:r>
          </w:p>
        </w:tc>
        <w:tc>
          <w:tcPr>
            <w:tcW w:w="1692" w:type="dxa"/>
            <w:noWrap w:val="0"/>
            <w:vAlign w:val="center"/>
          </w:tcPr>
          <w:p w14:paraId="509804FF">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项目名称</w:t>
            </w:r>
          </w:p>
        </w:tc>
        <w:tc>
          <w:tcPr>
            <w:tcW w:w="7050" w:type="dxa"/>
            <w:noWrap w:val="0"/>
            <w:vAlign w:val="center"/>
          </w:tcPr>
          <w:p w14:paraId="5F409BA3">
            <w:pPr>
              <w:pageBreakBefore w:val="0"/>
              <w:kinsoku/>
              <w:overflowPunct/>
              <w:topLinePunct w:val="0"/>
              <w:bidi w:val="0"/>
              <w:spacing w:line="288" w:lineRule="auto"/>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长白山森林生态系统国家定位观测研究站改造提升建设项目仪器设备购置</w:t>
            </w:r>
          </w:p>
        </w:tc>
      </w:tr>
      <w:tr w14:paraId="7E6D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459235B6">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1.1.5</w:t>
            </w:r>
          </w:p>
        </w:tc>
        <w:tc>
          <w:tcPr>
            <w:tcW w:w="1692" w:type="dxa"/>
            <w:noWrap w:val="0"/>
            <w:vAlign w:val="center"/>
          </w:tcPr>
          <w:p w14:paraId="0250FE68">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供货地点</w:t>
            </w:r>
          </w:p>
        </w:tc>
        <w:tc>
          <w:tcPr>
            <w:tcW w:w="7050" w:type="dxa"/>
            <w:noWrap w:val="0"/>
            <w:vAlign w:val="center"/>
          </w:tcPr>
          <w:p w14:paraId="08B96F8A">
            <w:pPr>
              <w:pageBreakBefore w:val="0"/>
              <w:kinsoku/>
              <w:overflowPunct/>
              <w:topLinePunct w:val="0"/>
              <w:bidi w:val="0"/>
              <w:spacing w:line="288" w:lineRule="auto"/>
              <w:jc w:val="both"/>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采购人指定地点</w:t>
            </w:r>
          </w:p>
        </w:tc>
      </w:tr>
      <w:tr w14:paraId="2ADF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4C6C5FE5">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l.2.1</w:t>
            </w:r>
          </w:p>
        </w:tc>
        <w:tc>
          <w:tcPr>
            <w:tcW w:w="1692" w:type="dxa"/>
            <w:noWrap w:val="0"/>
            <w:vAlign w:val="center"/>
          </w:tcPr>
          <w:p w14:paraId="1EBB2C2C">
            <w:pPr>
              <w:pageBreakBefore w:val="0"/>
              <w:kinsoku/>
              <w:overflowPunct/>
              <w:topLinePunct w:val="0"/>
              <w:bidi w:val="0"/>
              <w:spacing w:line="288" w:lineRule="auto"/>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预算金额</w:t>
            </w:r>
          </w:p>
          <w:p w14:paraId="65EB586A">
            <w:pPr>
              <w:pageBreakBefore w:val="0"/>
              <w:kinsoku/>
              <w:overflowPunct/>
              <w:topLinePunct w:val="0"/>
              <w:bidi w:val="0"/>
              <w:spacing w:line="288" w:lineRule="auto"/>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lang w:val="zh-CN"/>
              </w:rPr>
              <w:t>（最高限价）</w:t>
            </w:r>
          </w:p>
        </w:tc>
        <w:tc>
          <w:tcPr>
            <w:tcW w:w="7050" w:type="dxa"/>
            <w:noWrap w:val="0"/>
            <w:vAlign w:val="center"/>
          </w:tcPr>
          <w:p w14:paraId="5DA4C75A">
            <w:pPr>
              <w:pageBreakBefore w:val="0"/>
              <w:kinsoku/>
              <w:overflowPunct/>
              <w:topLinePunct w:val="0"/>
              <w:bidi w:val="0"/>
              <w:spacing w:line="288" w:lineRule="auto"/>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5,449,600.00元人民币</w:t>
            </w:r>
          </w:p>
          <w:p w14:paraId="4124A1B1">
            <w:pPr>
              <w:pageBreakBefore w:val="0"/>
              <w:kinsoku/>
              <w:overflowPunct/>
              <w:topLinePunct w:val="0"/>
              <w:bidi w:val="0"/>
              <w:spacing w:line="288" w:lineRule="auto"/>
              <w:jc w:val="both"/>
              <w:textAlignment w:val="auto"/>
              <w:rPr>
                <w:rFonts w:hint="eastAsia" w:ascii="宋体" w:hAnsi="宋体" w:cs="宋体"/>
                <w:color w:val="auto"/>
                <w:kern w:val="0"/>
                <w:sz w:val="24"/>
                <w:szCs w:val="24"/>
                <w:highlight w:val="none"/>
                <w:lang w:val="en-US" w:eastAsia="zh-CN" w:bidi="ar"/>
              </w:rPr>
            </w:pPr>
            <w:r>
              <w:rPr>
                <w:rFonts w:hint="eastAsia" w:ascii="宋体" w:hAnsi="宋体" w:cs="宋体"/>
                <w:color w:val="auto"/>
                <w:sz w:val="24"/>
                <w:szCs w:val="24"/>
                <w:highlight w:val="none"/>
                <w:lang w:eastAsia="zh-CN"/>
              </w:rPr>
              <w:t>注：投标供应商所</w:t>
            </w:r>
            <w:r>
              <w:rPr>
                <w:rFonts w:hint="eastAsia" w:ascii="宋体" w:hAnsi="宋体" w:cs="宋体"/>
                <w:color w:val="auto"/>
                <w:sz w:val="24"/>
                <w:szCs w:val="24"/>
                <w:highlight w:val="none"/>
                <w:lang w:val="en-US" w:eastAsia="zh-CN"/>
              </w:rPr>
              <w:t>报价格</w:t>
            </w:r>
            <w:r>
              <w:rPr>
                <w:rFonts w:hint="eastAsia" w:ascii="宋体" w:hAnsi="宋体" w:cs="宋体"/>
                <w:color w:val="auto"/>
                <w:sz w:val="24"/>
                <w:szCs w:val="24"/>
                <w:highlight w:val="none"/>
                <w:lang w:eastAsia="zh-CN"/>
              </w:rPr>
              <w:t>不得超过最高限价，否则</w:t>
            </w:r>
            <w:r>
              <w:rPr>
                <w:rFonts w:hint="eastAsia" w:ascii="宋体" w:hAnsi="宋体" w:cs="宋体"/>
                <w:color w:val="auto"/>
                <w:sz w:val="24"/>
                <w:szCs w:val="24"/>
                <w:highlight w:val="none"/>
                <w:lang w:val="en-US" w:eastAsia="zh-CN"/>
              </w:rPr>
              <w:t>报价无效</w:t>
            </w:r>
            <w:r>
              <w:rPr>
                <w:rFonts w:hint="eastAsia" w:ascii="宋体" w:hAnsi="宋体" w:cs="宋体"/>
                <w:color w:val="auto"/>
                <w:sz w:val="24"/>
                <w:szCs w:val="24"/>
                <w:highlight w:val="none"/>
                <w:lang w:eastAsia="zh-CN"/>
              </w:rPr>
              <w:t>。</w:t>
            </w:r>
          </w:p>
        </w:tc>
      </w:tr>
      <w:tr w14:paraId="0204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7F902A6F">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1.2.2</w:t>
            </w:r>
          </w:p>
        </w:tc>
        <w:tc>
          <w:tcPr>
            <w:tcW w:w="1692" w:type="dxa"/>
            <w:noWrap w:val="0"/>
            <w:vAlign w:val="center"/>
          </w:tcPr>
          <w:p w14:paraId="32B91E6E">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资金落实情况</w:t>
            </w:r>
          </w:p>
        </w:tc>
        <w:tc>
          <w:tcPr>
            <w:tcW w:w="7050" w:type="dxa"/>
            <w:noWrap w:val="0"/>
            <w:vAlign w:val="center"/>
          </w:tcPr>
          <w:p w14:paraId="3B98D32F">
            <w:pPr>
              <w:pStyle w:val="16"/>
              <w:pageBreakBefore w:val="0"/>
              <w:kinsoku/>
              <w:overflowPunct/>
              <w:topLinePunct w:val="0"/>
              <w:bidi w:val="0"/>
              <w:spacing w:line="288" w:lineRule="auto"/>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已落实</w:t>
            </w:r>
          </w:p>
        </w:tc>
      </w:tr>
      <w:tr w14:paraId="6F6B6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0B4DA3EE">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1.3.1</w:t>
            </w:r>
          </w:p>
        </w:tc>
        <w:tc>
          <w:tcPr>
            <w:tcW w:w="1692" w:type="dxa"/>
            <w:noWrap w:val="0"/>
            <w:vAlign w:val="center"/>
          </w:tcPr>
          <w:p w14:paraId="24C6543A">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招标内容</w:t>
            </w:r>
          </w:p>
        </w:tc>
        <w:tc>
          <w:tcPr>
            <w:tcW w:w="7050" w:type="dxa"/>
            <w:noWrap w:val="0"/>
            <w:vAlign w:val="center"/>
          </w:tcPr>
          <w:p w14:paraId="7234B330">
            <w:pPr>
              <w:pStyle w:val="16"/>
              <w:pageBreakBefore w:val="0"/>
              <w:kinsoku/>
              <w:overflowPunct/>
              <w:topLinePunct w:val="0"/>
              <w:bidi w:val="0"/>
              <w:spacing w:line="288"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0"/>
                <w:kern w:val="0"/>
                <w:sz w:val="24"/>
                <w:szCs w:val="24"/>
                <w:highlight w:val="none"/>
                <w:lang w:val="en-US" w:eastAsia="zh-CN" w:bidi="ar"/>
              </w:rPr>
              <w:t>购置观测仪器设备共计36台（套），具体详见招标文件“第四部分 采购需求和技术要求”</w:t>
            </w:r>
          </w:p>
        </w:tc>
      </w:tr>
      <w:tr w14:paraId="03CE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1DEE1500">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1.3.2</w:t>
            </w:r>
          </w:p>
        </w:tc>
        <w:tc>
          <w:tcPr>
            <w:tcW w:w="1692" w:type="dxa"/>
            <w:noWrap w:val="0"/>
            <w:vAlign w:val="center"/>
          </w:tcPr>
          <w:p w14:paraId="1F1C92AB">
            <w:pPr>
              <w:pageBreakBefore w:val="0"/>
              <w:kinsoku/>
              <w:overflowPunct/>
              <w:topLinePunct w:val="0"/>
              <w:bidi w:val="0"/>
              <w:spacing w:line="288" w:lineRule="auto"/>
              <w:jc w:val="center"/>
              <w:textAlignment w:val="auto"/>
              <w:rPr>
                <w:rFonts w:hint="eastAsia" w:ascii="宋体" w:hAnsi="宋体" w:eastAsia="宋体" w:cs="宋体"/>
                <w:bCs/>
                <w:color w:val="auto"/>
                <w:sz w:val="24"/>
                <w:szCs w:val="24"/>
                <w:highlight w:val="none"/>
              </w:rPr>
            </w:pPr>
            <w:r>
              <w:rPr>
                <w:rFonts w:hint="eastAsia" w:ascii="宋体" w:hAnsi="宋体" w:cs="宋体"/>
                <w:color w:val="auto"/>
                <w:sz w:val="24"/>
                <w:szCs w:val="24"/>
                <w:highlight w:val="none"/>
                <w:lang w:eastAsia="zh-CN"/>
              </w:rPr>
              <w:t>供货期</w:t>
            </w:r>
          </w:p>
        </w:tc>
        <w:tc>
          <w:tcPr>
            <w:tcW w:w="7050" w:type="dxa"/>
            <w:noWrap w:val="0"/>
            <w:vAlign w:val="center"/>
          </w:tcPr>
          <w:p w14:paraId="57F51E79">
            <w:pPr>
              <w:pStyle w:val="16"/>
              <w:pageBreakBefore w:val="0"/>
              <w:kinsoku/>
              <w:overflowPunct/>
              <w:topLinePunct w:val="0"/>
              <w:bidi w:val="0"/>
              <w:spacing w:line="288" w:lineRule="auto"/>
              <w:jc w:val="both"/>
              <w:textAlignment w:val="auto"/>
              <w:rPr>
                <w:rFonts w:hint="eastAsia" w:ascii="宋体" w:hAnsi="宋体" w:eastAsia="宋体" w:cs="宋体"/>
                <w:bCs/>
                <w:color w:val="auto"/>
                <w:sz w:val="24"/>
                <w:szCs w:val="24"/>
                <w:highlight w:val="none"/>
              </w:rPr>
            </w:pPr>
            <w:r>
              <w:rPr>
                <w:rFonts w:hint="eastAsia" w:ascii="宋体" w:hAnsi="宋体" w:eastAsia="宋体" w:cs="宋体"/>
                <w:color w:val="auto"/>
                <w:spacing w:val="0"/>
                <w:kern w:val="0"/>
                <w:sz w:val="24"/>
                <w:szCs w:val="24"/>
                <w:highlight w:val="none"/>
                <w:lang w:val="en-US" w:eastAsia="zh-CN" w:bidi="ar"/>
              </w:rPr>
              <w:t xml:space="preserve">自签订合同之日起 </w:t>
            </w:r>
            <w:r>
              <w:rPr>
                <w:rFonts w:hint="eastAsia" w:ascii="宋体" w:hAnsi="宋体" w:cs="宋体"/>
                <w:color w:val="auto"/>
                <w:spacing w:val="0"/>
                <w:kern w:val="0"/>
                <w:sz w:val="24"/>
                <w:szCs w:val="24"/>
                <w:highlight w:val="none"/>
                <w:lang w:val="en-US" w:eastAsia="zh-CN" w:bidi="ar"/>
              </w:rPr>
              <w:t>90</w:t>
            </w:r>
            <w:r>
              <w:rPr>
                <w:rFonts w:hint="eastAsia" w:ascii="宋体" w:hAnsi="宋体" w:eastAsia="宋体" w:cs="宋体"/>
                <w:color w:val="auto"/>
                <w:spacing w:val="0"/>
                <w:kern w:val="0"/>
                <w:sz w:val="24"/>
                <w:szCs w:val="24"/>
                <w:highlight w:val="none"/>
                <w:lang w:val="en-US" w:eastAsia="zh-CN" w:bidi="ar"/>
              </w:rPr>
              <w:t xml:space="preserve"> 天（日历天）内完成供货、安装调试并投入使用</w:t>
            </w:r>
          </w:p>
        </w:tc>
      </w:tr>
      <w:tr w14:paraId="7147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7622776F">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1.3.3</w:t>
            </w:r>
          </w:p>
        </w:tc>
        <w:tc>
          <w:tcPr>
            <w:tcW w:w="1692" w:type="dxa"/>
            <w:noWrap w:val="0"/>
            <w:vAlign w:val="center"/>
          </w:tcPr>
          <w:p w14:paraId="660C22B9">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质量标准</w:t>
            </w:r>
          </w:p>
        </w:tc>
        <w:tc>
          <w:tcPr>
            <w:tcW w:w="7050" w:type="dxa"/>
            <w:noWrap w:val="0"/>
            <w:vAlign w:val="center"/>
          </w:tcPr>
          <w:p w14:paraId="5F9752C8">
            <w:pPr>
              <w:keepNext w:val="0"/>
              <w:keepLines w:val="0"/>
              <w:pageBreakBefore w:val="0"/>
              <w:widowControl w:val="0"/>
              <w:kinsoku/>
              <w:wordWrap w:val="0"/>
              <w:overflowPunct/>
              <w:topLinePunct w:val="0"/>
              <w:autoSpaceDE/>
              <w:autoSpaceDN/>
              <w:bidi w:val="0"/>
              <w:adjustRightInd w:val="0"/>
              <w:spacing w:line="440" w:lineRule="exac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符合国家及相关行业合格标准</w:t>
            </w:r>
          </w:p>
        </w:tc>
      </w:tr>
      <w:tr w14:paraId="1BC7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1763AD1E">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1.4.1</w:t>
            </w:r>
          </w:p>
        </w:tc>
        <w:tc>
          <w:tcPr>
            <w:tcW w:w="1692" w:type="dxa"/>
            <w:noWrap w:val="0"/>
            <w:vAlign w:val="center"/>
          </w:tcPr>
          <w:p w14:paraId="3F8E844B">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资格条件、能力和信誉</w:t>
            </w:r>
          </w:p>
        </w:tc>
        <w:tc>
          <w:tcPr>
            <w:tcW w:w="7050" w:type="dxa"/>
            <w:noWrap w:val="0"/>
            <w:vAlign w:val="center"/>
          </w:tcPr>
          <w:p w14:paraId="1BBF04D0">
            <w:pPr>
              <w:pStyle w:val="16"/>
              <w:pageBreakBefore w:val="0"/>
              <w:kinsoku/>
              <w:overflowPunct/>
              <w:topLinePunct w:val="0"/>
              <w:bidi w:val="0"/>
              <w:spacing w:line="288" w:lineRule="auto"/>
              <w:jc w:val="both"/>
              <w:textAlignment w:val="auto"/>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1.满足《中华人民共和国政府采购法》第二十二条规定：</w:t>
            </w:r>
          </w:p>
          <w:p w14:paraId="79D4CB99">
            <w:pPr>
              <w:pStyle w:val="16"/>
              <w:pageBreakBefore w:val="0"/>
              <w:kinsoku/>
              <w:overflowPunct/>
              <w:topLinePunct w:val="0"/>
              <w:bidi w:val="0"/>
              <w:spacing w:line="288" w:lineRule="auto"/>
              <w:jc w:val="both"/>
              <w:textAlignment w:val="auto"/>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(1)具有独立承担民事责任的能力；</w:t>
            </w:r>
          </w:p>
          <w:p w14:paraId="76F8F7AE">
            <w:pPr>
              <w:pStyle w:val="16"/>
              <w:pageBreakBefore w:val="0"/>
              <w:kinsoku/>
              <w:overflowPunct/>
              <w:topLinePunct w:val="0"/>
              <w:bidi w:val="0"/>
              <w:spacing w:line="288" w:lineRule="auto"/>
              <w:jc w:val="both"/>
              <w:textAlignment w:val="auto"/>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(2)具有良好的商业信誉和健全的财务会计制度；</w:t>
            </w:r>
          </w:p>
          <w:p w14:paraId="2A2BC923">
            <w:pPr>
              <w:pStyle w:val="16"/>
              <w:pageBreakBefore w:val="0"/>
              <w:kinsoku/>
              <w:overflowPunct/>
              <w:topLinePunct w:val="0"/>
              <w:bidi w:val="0"/>
              <w:spacing w:line="288" w:lineRule="auto"/>
              <w:jc w:val="both"/>
              <w:textAlignment w:val="auto"/>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(3)具有履行合同所必需的设备和专业技术能力；</w:t>
            </w:r>
          </w:p>
          <w:p w14:paraId="2A64C3D9">
            <w:pPr>
              <w:pStyle w:val="16"/>
              <w:pageBreakBefore w:val="0"/>
              <w:kinsoku/>
              <w:overflowPunct/>
              <w:topLinePunct w:val="0"/>
              <w:bidi w:val="0"/>
              <w:spacing w:line="288" w:lineRule="auto"/>
              <w:jc w:val="both"/>
              <w:textAlignment w:val="auto"/>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(4)有依法缴纳税收和社会保障资金的良好记录；</w:t>
            </w:r>
          </w:p>
          <w:p w14:paraId="06CC0445">
            <w:pPr>
              <w:pStyle w:val="16"/>
              <w:pageBreakBefore w:val="0"/>
              <w:kinsoku/>
              <w:overflowPunct/>
              <w:topLinePunct w:val="0"/>
              <w:bidi w:val="0"/>
              <w:spacing w:line="288" w:lineRule="auto"/>
              <w:jc w:val="both"/>
              <w:textAlignment w:val="auto"/>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(5)参加政府采购活动前三年内，在经营活动中没有重大违法记录；</w:t>
            </w:r>
          </w:p>
          <w:p w14:paraId="09801F48">
            <w:pPr>
              <w:pStyle w:val="16"/>
              <w:pageBreakBefore w:val="0"/>
              <w:kinsoku/>
              <w:overflowPunct/>
              <w:topLinePunct w:val="0"/>
              <w:bidi w:val="0"/>
              <w:spacing w:line="288" w:lineRule="auto"/>
              <w:jc w:val="both"/>
              <w:textAlignment w:val="auto"/>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(6)法律、行政法规规定的其他条件。</w:t>
            </w:r>
          </w:p>
          <w:p w14:paraId="3A9726FA">
            <w:pPr>
              <w:pStyle w:val="16"/>
              <w:pageBreakBefore w:val="0"/>
              <w:kinsoku/>
              <w:overflowPunct/>
              <w:topLinePunct w:val="0"/>
              <w:bidi w:val="0"/>
              <w:spacing w:line="288" w:lineRule="auto"/>
              <w:jc w:val="both"/>
              <w:textAlignment w:val="auto"/>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2.落实政府采购政策需满足的资格要求：</w:t>
            </w:r>
          </w:p>
          <w:p w14:paraId="0A51B649">
            <w:pPr>
              <w:pStyle w:val="16"/>
              <w:pageBreakBefore w:val="0"/>
              <w:kinsoku/>
              <w:overflowPunct/>
              <w:topLinePunct w:val="0"/>
              <w:bidi w:val="0"/>
              <w:spacing w:line="288" w:lineRule="auto"/>
              <w:jc w:val="both"/>
              <w:textAlignment w:val="auto"/>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（1）本项目为非专门面向中小企业的采购项目，本项目所属行业为</w:t>
            </w:r>
            <w:r>
              <w:rPr>
                <w:rFonts w:hint="eastAsia" w:ascii="宋体" w:hAnsi="宋体" w:cs="宋体"/>
                <w:color w:val="auto"/>
                <w:spacing w:val="0"/>
                <w:kern w:val="0"/>
                <w:sz w:val="24"/>
                <w:szCs w:val="24"/>
                <w:highlight w:val="none"/>
                <w:u w:val="single"/>
                <w:lang w:val="en-US" w:eastAsia="zh-CN" w:bidi="ar"/>
              </w:rPr>
              <w:t>制造业</w:t>
            </w:r>
            <w:r>
              <w:rPr>
                <w:rFonts w:hint="eastAsia" w:ascii="宋体" w:hAnsi="宋体" w:eastAsia="宋体" w:cs="宋体"/>
                <w:color w:val="auto"/>
                <w:spacing w:val="0"/>
                <w:kern w:val="0"/>
                <w:sz w:val="24"/>
                <w:szCs w:val="24"/>
                <w:highlight w:val="none"/>
                <w:lang w:val="en-US" w:eastAsia="zh-CN" w:bidi="ar"/>
              </w:rPr>
              <w:t>；</w:t>
            </w:r>
          </w:p>
          <w:p w14:paraId="0BCD6225">
            <w:pPr>
              <w:pStyle w:val="16"/>
              <w:pageBreakBefore w:val="0"/>
              <w:kinsoku/>
              <w:overflowPunct/>
              <w:topLinePunct w:val="0"/>
              <w:bidi w:val="0"/>
              <w:spacing w:line="288" w:lineRule="auto"/>
              <w:jc w:val="both"/>
              <w:textAlignment w:val="auto"/>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（2）依据《中华人民共和国政府采购法》及《中华人民共和国政府采购法实施条例》的有关规定，落实政府采购政策，详见招标文件。</w:t>
            </w:r>
          </w:p>
          <w:p w14:paraId="66927031">
            <w:pPr>
              <w:pStyle w:val="16"/>
              <w:pageBreakBefore w:val="0"/>
              <w:kinsoku/>
              <w:overflowPunct/>
              <w:topLinePunct w:val="0"/>
              <w:bidi w:val="0"/>
              <w:spacing w:line="288" w:lineRule="auto"/>
              <w:jc w:val="both"/>
              <w:textAlignment w:val="auto"/>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①《政府采购促进中小企业发展管理办法》（财库[2020]46号）；</w:t>
            </w:r>
          </w:p>
          <w:p w14:paraId="38B61AF2">
            <w:pPr>
              <w:pStyle w:val="16"/>
              <w:pageBreakBefore w:val="0"/>
              <w:kinsoku/>
              <w:overflowPunct/>
              <w:topLinePunct w:val="0"/>
              <w:bidi w:val="0"/>
              <w:spacing w:line="288" w:lineRule="auto"/>
              <w:jc w:val="both"/>
              <w:textAlignment w:val="auto"/>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②《关于进一步加大政府采购支持中小企业力度的通知》财库〔2022〕19号；</w:t>
            </w:r>
          </w:p>
          <w:p w14:paraId="2FB01965">
            <w:pPr>
              <w:pStyle w:val="16"/>
              <w:pageBreakBefore w:val="0"/>
              <w:kinsoku/>
              <w:overflowPunct/>
              <w:topLinePunct w:val="0"/>
              <w:bidi w:val="0"/>
              <w:spacing w:line="288" w:lineRule="auto"/>
              <w:jc w:val="both"/>
              <w:textAlignment w:val="auto"/>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③《财政部司法部关于政府采购支持监狱企业发展有关问题的通知》（财库[2014]68号）；</w:t>
            </w:r>
          </w:p>
          <w:p w14:paraId="7F9C2DB6">
            <w:pPr>
              <w:pStyle w:val="16"/>
              <w:pageBreakBefore w:val="0"/>
              <w:kinsoku/>
              <w:overflowPunct/>
              <w:topLinePunct w:val="0"/>
              <w:bidi w:val="0"/>
              <w:spacing w:line="288" w:lineRule="auto"/>
              <w:jc w:val="both"/>
              <w:textAlignment w:val="auto"/>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④《关于促进残疾人就业政府采购政策的通知》（财库〔2017〕141号）；</w:t>
            </w:r>
          </w:p>
          <w:p w14:paraId="030FBEA1">
            <w:pPr>
              <w:pStyle w:val="16"/>
              <w:pageBreakBefore w:val="0"/>
              <w:kinsoku/>
              <w:overflowPunct/>
              <w:topLinePunct w:val="0"/>
              <w:bidi w:val="0"/>
              <w:spacing w:line="288" w:lineRule="auto"/>
              <w:jc w:val="both"/>
              <w:textAlignment w:val="auto"/>
              <w:rPr>
                <w:rFonts w:hint="default"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⑤《关于调整优化节能产品、环境标志产品政府采购执行机制的通知》(财库[2019]9号)等国家最新政策。</w:t>
            </w:r>
          </w:p>
          <w:p w14:paraId="0A39E6FD">
            <w:pPr>
              <w:pStyle w:val="16"/>
              <w:pageBreakBefore w:val="0"/>
              <w:kinsoku/>
              <w:overflowPunct/>
              <w:topLinePunct w:val="0"/>
              <w:bidi w:val="0"/>
              <w:spacing w:line="288" w:lineRule="auto"/>
              <w:jc w:val="both"/>
              <w:textAlignment w:val="auto"/>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3.本项目的特定资格要求：</w:t>
            </w:r>
          </w:p>
          <w:p w14:paraId="09879532">
            <w:pPr>
              <w:pStyle w:val="16"/>
              <w:pageBreakBefore w:val="0"/>
              <w:kinsoku/>
              <w:overflowPunct/>
              <w:topLinePunct w:val="0"/>
              <w:bidi w:val="0"/>
              <w:spacing w:line="288" w:lineRule="auto"/>
              <w:jc w:val="both"/>
              <w:textAlignment w:val="auto"/>
              <w:rPr>
                <w:rFonts w:hint="default" w:ascii="宋体" w:hAnsi="宋体" w:eastAsia="宋体" w:cs="宋体"/>
                <w:color w:val="auto"/>
                <w:spacing w:val="0"/>
                <w:kern w:val="0"/>
                <w:sz w:val="24"/>
                <w:szCs w:val="24"/>
                <w:highlight w:val="none"/>
                <w:lang w:val="en-US" w:eastAsia="zh-CN" w:bidi="ar"/>
              </w:rPr>
            </w:pPr>
            <w:r>
              <w:rPr>
                <w:rFonts w:hint="default" w:ascii="宋体" w:hAnsi="宋体" w:eastAsia="宋体" w:cs="宋体"/>
                <w:color w:val="auto"/>
                <w:spacing w:val="0"/>
                <w:kern w:val="0"/>
                <w:sz w:val="24"/>
                <w:szCs w:val="24"/>
                <w:highlight w:val="none"/>
                <w:lang w:val="en-US" w:eastAsia="zh-CN" w:bidi="ar"/>
              </w:rPr>
              <w:t>（1）投标人须是在中国境内注册具有独立承担民事责任能力的独立法人或其他组织形式，具备有效的营业执照，具有履行合同所必需的设备和专业技术能力；</w:t>
            </w:r>
          </w:p>
          <w:p w14:paraId="32C26DF4">
            <w:pPr>
              <w:pStyle w:val="16"/>
              <w:pageBreakBefore w:val="0"/>
              <w:kinsoku/>
              <w:overflowPunct/>
              <w:topLinePunct w:val="0"/>
              <w:bidi w:val="0"/>
              <w:spacing w:line="288" w:lineRule="auto"/>
              <w:jc w:val="both"/>
              <w:textAlignment w:val="auto"/>
              <w:rPr>
                <w:rFonts w:hint="default" w:ascii="宋体" w:hAnsi="宋体" w:eastAsia="宋体" w:cs="宋体"/>
                <w:color w:val="auto"/>
                <w:spacing w:val="0"/>
                <w:kern w:val="0"/>
                <w:sz w:val="24"/>
                <w:szCs w:val="24"/>
                <w:highlight w:val="none"/>
                <w:lang w:val="en-US" w:eastAsia="zh-CN" w:bidi="ar"/>
              </w:rPr>
            </w:pPr>
            <w:r>
              <w:rPr>
                <w:rFonts w:hint="default" w:ascii="宋体" w:hAnsi="宋体" w:eastAsia="宋体" w:cs="宋体"/>
                <w:color w:val="auto"/>
                <w:spacing w:val="0"/>
                <w:kern w:val="0"/>
                <w:sz w:val="24"/>
                <w:szCs w:val="24"/>
                <w:highlight w:val="none"/>
                <w:lang w:val="en-US" w:eastAsia="zh-CN" w:bidi="ar"/>
              </w:rPr>
              <w:t>（2）投标人近三年（2022年-至今）财务状况良好。同时提供以下①②材料：</w:t>
            </w:r>
          </w:p>
          <w:p w14:paraId="49A848E7">
            <w:pPr>
              <w:pStyle w:val="16"/>
              <w:pageBreakBefore w:val="0"/>
              <w:kinsoku/>
              <w:overflowPunct/>
              <w:topLinePunct w:val="0"/>
              <w:bidi w:val="0"/>
              <w:spacing w:line="288" w:lineRule="auto"/>
              <w:jc w:val="both"/>
              <w:textAlignment w:val="auto"/>
              <w:rPr>
                <w:rFonts w:hint="default" w:ascii="宋体" w:hAnsi="宋体" w:eastAsia="宋体" w:cs="宋体"/>
                <w:color w:val="auto"/>
                <w:spacing w:val="0"/>
                <w:kern w:val="0"/>
                <w:sz w:val="24"/>
                <w:szCs w:val="24"/>
                <w:highlight w:val="none"/>
                <w:lang w:val="en-US" w:eastAsia="zh-CN" w:bidi="ar"/>
              </w:rPr>
            </w:pPr>
            <w:r>
              <w:rPr>
                <w:rFonts w:hint="default" w:ascii="宋体" w:hAnsi="宋体" w:eastAsia="宋体" w:cs="宋体"/>
                <w:color w:val="auto"/>
                <w:spacing w:val="0"/>
                <w:kern w:val="0"/>
                <w:sz w:val="24"/>
                <w:szCs w:val="24"/>
                <w:highlight w:val="none"/>
                <w:lang w:val="en-US" w:eastAsia="zh-CN" w:bidi="ar"/>
              </w:rPr>
              <w:t>①2022年-2024年经会计师事务所或审计机构审计的财务审计报告，如投标人成立日期在2022年-2024年之间的，提供从成立之日起到2024年度经会计师事务所或审计机构审计的财务审计报告；②2025年1月1日至今的财务状况良好承诺。</w:t>
            </w:r>
          </w:p>
          <w:p w14:paraId="3036F56C">
            <w:pPr>
              <w:pStyle w:val="16"/>
              <w:pageBreakBefore w:val="0"/>
              <w:kinsoku/>
              <w:overflowPunct/>
              <w:topLinePunct w:val="0"/>
              <w:bidi w:val="0"/>
              <w:spacing w:line="288" w:lineRule="auto"/>
              <w:jc w:val="both"/>
              <w:textAlignment w:val="auto"/>
              <w:rPr>
                <w:rFonts w:hint="default" w:ascii="宋体" w:hAnsi="宋体" w:eastAsia="宋体" w:cs="宋体"/>
                <w:color w:val="auto"/>
                <w:spacing w:val="0"/>
                <w:kern w:val="0"/>
                <w:sz w:val="24"/>
                <w:szCs w:val="24"/>
                <w:highlight w:val="none"/>
                <w:lang w:val="en-US" w:eastAsia="zh-CN" w:bidi="ar"/>
              </w:rPr>
            </w:pPr>
            <w:r>
              <w:rPr>
                <w:rFonts w:hint="default" w:ascii="宋体" w:hAnsi="宋体" w:eastAsia="宋体" w:cs="宋体"/>
                <w:color w:val="auto"/>
                <w:spacing w:val="0"/>
                <w:kern w:val="0"/>
                <w:sz w:val="24"/>
                <w:szCs w:val="24"/>
                <w:highlight w:val="none"/>
                <w:lang w:val="en-US" w:eastAsia="zh-CN" w:bidi="ar"/>
              </w:rPr>
              <w:t>注：如投标人在2025年1月1日后成立的，只提供成立之日至今的财务状况良好承诺即可；</w:t>
            </w:r>
          </w:p>
          <w:p w14:paraId="7EB432CE">
            <w:pPr>
              <w:pStyle w:val="16"/>
              <w:pageBreakBefore w:val="0"/>
              <w:kinsoku/>
              <w:overflowPunct/>
              <w:topLinePunct w:val="0"/>
              <w:bidi w:val="0"/>
              <w:spacing w:line="288" w:lineRule="auto"/>
              <w:jc w:val="both"/>
              <w:textAlignment w:val="auto"/>
              <w:rPr>
                <w:rFonts w:hint="default" w:ascii="宋体" w:hAnsi="宋体" w:eastAsia="宋体" w:cs="宋体"/>
                <w:color w:val="auto"/>
                <w:spacing w:val="0"/>
                <w:kern w:val="0"/>
                <w:sz w:val="24"/>
                <w:szCs w:val="24"/>
                <w:highlight w:val="none"/>
                <w:lang w:val="en-US" w:eastAsia="zh-CN" w:bidi="ar"/>
              </w:rPr>
            </w:pPr>
            <w:r>
              <w:rPr>
                <w:rFonts w:hint="default" w:ascii="宋体" w:hAnsi="宋体" w:eastAsia="宋体" w:cs="宋体"/>
                <w:color w:val="auto"/>
                <w:spacing w:val="0"/>
                <w:kern w:val="0"/>
                <w:sz w:val="24"/>
                <w:szCs w:val="24"/>
                <w:highlight w:val="none"/>
                <w:lang w:val="en-US" w:eastAsia="zh-CN" w:bidi="ar"/>
              </w:rPr>
              <w:t>（3）具有近三个月任意一个月依法缴纳税收的相关材料（提供纳税证明材料）；</w:t>
            </w:r>
          </w:p>
          <w:p w14:paraId="215D9BBB">
            <w:pPr>
              <w:pStyle w:val="16"/>
              <w:pageBreakBefore w:val="0"/>
              <w:kinsoku/>
              <w:overflowPunct/>
              <w:topLinePunct w:val="0"/>
              <w:bidi w:val="0"/>
              <w:spacing w:line="288" w:lineRule="auto"/>
              <w:jc w:val="both"/>
              <w:textAlignment w:val="auto"/>
              <w:rPr>
                <w:rFonts w:hint="default" w:ascii="宋体" w:hAnsi="宋体" w:eastAsia="宋体" w:cs="宋体"/>
                <w:color w:val="auto"/>
                <w:spacing w:val="0"/>
                <w:kern w:val="0"/>
                <w:sz w:val="24"/>
                <w:szCs w:val="24"/>
                <w:highlight w:val="none"/>
                <w:lang w:val="en-US" w:eastAsia="zh-CN" w:bidi="ar"/>
              </w:rPr>
            </w:pPr>
            <w:r>
              <w:rPr>
                <w:rFonts w:hint="default" w:ascii="宋体" w:hAnsi="宋体" w:eastAsia="宋体" w:cs="宋体"/>
                <w:color w:val="auto"/>
                <w:spacing w:val="0"/>
                <w:kern w:val="0"/>
                <w:sz w:val="24"/>
                <w:szCs w:val="24"/>
                <w:highlight w:val="none"/>
                <w:lang w:val="en-US" w:eastAsia="zh-CN" w:bidi="ar"/>
              </w:rPr>
              <w:t>（4）具有近三个月任意一个月缴纳社会保障资金的相关材料（提供社会保障资金缴纳证明材料）；</w:t>
            </w:r>
          </w:p>
          <w:p w14:paraId="4BD26B5A">
            <w:pPr>
              <w:pStyle w:val="16"/>
              <w:pageBreakBefore w:val="0"/>
              <w:kinsoku/>
              <w:overflowPunct/>
              <w:topLinePunct w:val="0"/>
              <w:bidi w:val="0"/>
              <w:spacing w:line="288" w:lineRule="auto"/>
              <w:jc w:val="both"/>
              <w:textAlignment w:val="auto"/>
              <w:rPr>
                <w:rFonts w:hint="default" w:ascii="宋体" w:hAnsi="宋体" w:eastAsia="宋体" w:cs="宋体"/>
                <w:color w:val="auto"/>
                <w:spacing w:val="0"/>
                <w:kern w:val="0"/>
                <w:sz w:val="24"/>
                <w:szCs w:val="24"/>
                <w:highlight w:val="none"/>
                <w:lang w:val="en-US" w:eastAsia="zh-CN" w:bidi="ar"/>
              </w:rPr>
            </w:pPr>
            <w:r>
              <w:rPr>
                <w:rFonts w:hint="default" w:ascii="宋体" w:hAnsi="宋体" w:eastAsia="宋体" w:cs="宋体"/>
                <w:color w:val="auto"/>
                <w:spacing w:val="0"/>
                <w:kern w:val="0"/>
                <w:sz w:val="24"/>
                <w:szCs w:val="24"/>
                <w:highlight w:val="none"/>
                <w:lang w:val="en-US" w:eastAsia="zh-CN" w:bidi="ar"/>
              </w:rPr>
              <w:t>（5）参加政府采购活动前三年内在经营活动中没有重大违法记录；</w:t>
            </w:r>
          </w:p>
          <w:p w14:paraId="093A3C9B">
            <w:pPr>
              <w:pStyle w:val="16"/>
              <w:pageBreakBefore w:val="0"/>
              <w:kinsoku/>
              <w:overflowPunct/>
              <w:topLinePunct w:val="0"/>
              <w:bidi w:val="0"/>
              <w:spacing w:line="288" w:lineRule="auto"/>
              <w:jc w:val="both"/>
              <w:textAlignment w:val="auto"/>
              <w:rPr>
                <w:rFonts w:hint="default" w:ascii="宋体" w:hAnsi="宋体" w:eastAsia="宋体" w:cs="宋体"/>
                <w:color w:val="auto"/>
                <w:spacing w:val="0"/>
                <w:kern w:val="0"/>
                <w:sz w:val="24"/>
                <w:szCs w:val="24"/>
                <w:highlight w:val="none"/>
                <w:lang w:val="en-US" w:eastAsia="zh-CN" w:bidi="ar"/>
              </w:rPr>
            </w:pPr>
            <w:r>
              <w:rPr>
                <w:rFonts w:hint="default" w:ascii="宋体" w:hAnsi="宋体" w:eastAsia="宋体" w:cs="宋体"/>
                <w:color w:val="auto"/>
                <w:spacing w:val="0"/>
                <w:kern w:val="0"/>
                <w:sz w:val="24"/>
                <w:szCs w:val="24"/>
                <w:highlight w:val="none"/>
                <w:lang w:val="en-US" w:eastAsia="zh-CN" w:bidi="ar"/>
              </w:rPr>
              <w:t>（6）投标人近三年（2022年1月1日-至今）内投标人、法定代表人未在“中国裁判文书网”（www.wenshu.court.gov.cn）有行贿犯罪记录；</w:t>
            </w:r>
          </w:p>
          <w:p w14:paraId="5527CAD5">
            <w:pPr>
              <w:pStyle w:val="16"/>
              <w:pageBreakBefore w:val="0"/>
              <w:kinsoku/>
              <w:overflowPunct/>
              <w:topLinePunct w:val="0"/>
              <w:bidi w:val="0"/>
              <w:spacing w:line="288" w:lineRule="auto"/>
              <w:jc w:val="both"/>
              <w:textAlignment w:val="auto"/>
              <w:rPr>
                <w:rFonts w:hint="default" w:ascii="宋体" w:hAnsi="宋体" w:eastAsia="宋体" w:cs="宋体"/>
                <w:color w:val="auto"/>
                <w:spacing w:val="0"/>
                <w:kern w:val="0"/>
                <w:sz w:val="24"/>
                <w:szCs w:val="24"/>
                <w:highlight w:val="none"/>
                <w:lang w:val="en-US" w:eastAsia="zh-CN" w:bidi="ar"/>
              </w:rPr>
            </w:pPr>
            <w:r>
              <w:rPr>
                <w:rFonts w:hint="default" w:ascii="宋体" w:hAnsi="宋体" w:eastAsia="宋体" w:cs="宋体"/>
                <w:color w:val="auto"/>
                <w:spacing w:val="0"/>
                <w:kern w:val="0"/>
                <w:sz w:val="24"/>
                <w:szCs w:val="24"/>
                <w:highlight w:val="none"/>
                <w:lang w:val="en-US" w:eastAsia="zh-CN" w:bidi="ar"/>
              </w:rPr>
              <w:t>（7）拒绝列入政府取消投标资格记录期间的企业或个人投标；</w:t>
            </w:r>
          </w:p>
          <w:p w14:paraId="73183712">
            <w:pPr>
              <w:pStyle w:val="16"/>
              <w:pageBreakBefore w:val="0"/>
              <w:kinsoku/>
              <w:overflowPunct/>
              <w:topLinePunct w:val="0"/>
              <w:bidi w:val="0"/>
              <w:spacing w:line="288" w:lineRule="auto"/>
              <w:jc w:val="both"/>
              <w:textAlignment w:val="auto"/>
              <w:rPr>
                <w:rFonts w:hint="default" w:ascii="宋体" w:hAnsi="宋体" w:eastAsia="宋体" w:cs="宋体"/>
                <w:color w:val="auto"/>
                <w:spacing w:val="0"/>
                <w:kern w:val="0"/>
                <w:sz w:val="24"/>
                <w:szCs w:val="24"/>
                <w:highlight w:val="none"/>
                <w:lang w:val="en-US" w:eastAsia="zh-CN" w:bidi="ar"/>
              </w:rPr>
            </w:pPr>
            <w:r>
              <w:rPr>
                <w:rFonts w:hint="default" w:ascii="宋体" w:hAnsi="宋体" w:eastAsia="宋体" w:cs="宋体"/>
                <w:color w:val="auto"/>
                <w:spacing w:val="0"/>
                <w:kern w:val="0"/>
                <w:sz w:val="24"/>
                <w:szCs w:val="24"/>
                <w:highlight w:val="none"/>
                <w:lang w:val="en-US" w:eastAsia="zh-CN" w:bidi="ar"/>
              </w:rPr>
              <w:t>（8）投标人不能列入失信被执行人、重大税收违法案件当事人名单、政府采购严重违法失信行为记录名单（详见财库〔2016〕125号）；</w:t>
            </w:r>
          </w:p>
          <w:p w14:paraId="2DCE609D">
            <w:pPr>
              <w:pStyle w:val="16"/>
              <w:pageBreakBefore w:val="0"/>
              <w:kinsoku/>
              <w:overflowPunct/>
              <w:topLinePunct w:val="0"/>
              <w:bidi w:val="0"/>
              <w:spacing w:line="288" w:lineRule="auto"/>
              <w:jc w:val="both"/>
              <w:textAlignment w:val="auto"/>
              <w:rPr>
                <w:rFonts w:hint="default" w:ascii="宋体" w:hAnsi="宋体" w:eastAsia="宋体" w:cs="宋体"/>
                <w:color w:val="auto"/>
                <w:spacing w:val="0"/>
                <w:kern w:val="0"/>
                <w:sz w:val="24"/>
                <w:szCs w:val="24"/>
                <w:highlight w:val="none"/>
                <w:lang w:val="en-US" w:eastAsia="zh-CN" w:bidi="ar"/>
              </w:rPr>
            </w:pPr>
            <w:r>
              <w:rPr>
                <w:rFonts w:hint="default" w:ascii="宋体" w:hAnsi="宋体" w:eastAsia="宋体" w:cs="宋体"/>
                <w:color w:val="auto"/>
                <w:spacing w:val="0"/>
                <w:kern w:val="0"/>
                <w:sz w:val="24"/>
                <w:szCs w:val="24"/>
                <w:highlight w:val="none"/>
                <w:lang w:val="en-US" w:eastAsia="zh-CN" w:bidi="ar"/>
              </w:rPr>
              <w:t>（9）拒绝被工商行政管理机关在国家企业信用信息公示系统中列入严重违法失信企业名单的参与投标；</w:t>
            </w:r>
          </w:p>
          <w:p w14:paraId="218CEFEF">
            <w:pPr>
              <w:pStyle w:val="16"/>
              <w:pageBreakBefore w:val="0"/>
              <w:kinsoku/>
              <w:overflowPunct/>
              <w:topLinePunct w:val="0"/>
              <w:bidi w:val="0"/>
              <w:spacing w:line="288" w:lineRule="auto"/>
              <w:jc w:val="both"/>
              <w:textAlignment w:val="auto"/>
              <w:rPr>
                <w:rFonts w:hint="eastAsia" w:ascii="宋体" w:hAnsi="宋体" w:eastAsia="宋体" w:cs="宋体"/>
                <w:color w:val="auto"/>
                <w:spacing w:val="0"/>
                <w:kern w:val="0"/>
                <w:sz w:val="24"/>
                <w:szCs w:val="24"/>
                <w:highlight w:val="yellow"/>
                <w:lang w:val="en-US" w:eastAsia="zh-CN" w:bidi="ar"/>
              </w:rPr>
            </w:pPr>
            <w:r>
              <w:rPr>
                <w:rFonts w:hint="default" w:ascii="宋体" w:hAnsi="宋体" w:eastAsia="宋体" w:cs="宋体"/>
                <w:color w:val="auto"/>
                <w:spacing w:val="0"/>
                <w:kern w:val="0"/>
                <w:sz w:val="24"/>
                <w:szCs w:val="24"/>
                <w:highlight w:val="none"/>
                <w:lang w:val="en-US" w:eastAsia="zh-CN" w:bidi="ar"/>
              </w:rPr>
              <w:t>（10）与采购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均无效。</w:t>
            </w:r>
          </w:p>
        </w:tc>
      </w:tr>
      <w:tr w14:paraId="6D8F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7E70B2D1">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1.4.2</w:t>
            </w:r>
          </w:p>
        </w:tc>
        <w:tc>
          <w:tcPr>
            <w:tcW w:w="1692" w:type="dxa"/>
            <w:noWrap w:val="0"/>
            <w:vAlign w:val="center"/>
          </w:tcPr>
          <w:p w14:paraId="63BF64B2">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是否接受联合体投标</w:t>
            </w:r>
          </w:p>
        </w:tc>
        <w:tc>
          <w:tcPr>
            <w:tcW w:w="7050" w:type="dxa"/>
            <w:noWrap w:val="0"/>
            <w:vAlign w:val="center"/>
          </w:tcPr>
          <w:p w14:paraId="79F3222E">
            <w:pPr>
              <w:keepNext w:val="0"/>
              <w:keepLines w:val="0"/>
              <w:pageBreakBefore w:val="0"/>
              <w:widowControl w:val="0"/>
              <w:kinsoku/>
              <w:wordWrap w:val="0"/>
              <w:overflowPunct/>
              <w:topLinePunct w:val="0"/>
              <w:autoSpaceDE/>
              <w:autoSpaceDN/>
              <w:bidi w:val="0"/>
              <w:adjustRightInd w:val="0"/>
              <w:spacing w:line="44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kern w:val="15"/>
                <w:sz w:val="24"/>
                <w:szCs w:val="24"/>
                <w:highlight w:val="none"/>
              </w:rPr>
              <w:fldChar w:fldCharType="begin"/>
            </w:r>
            <w:r>
              <w:rPr>
                <w:rFonts w:hint="eastAsia" w:ascii="宋体" w:hAnsi="宋体" w:eastAsia="宋体" w:cs="宋体"/>
                <w:bCs/>
                <w:color w:val="auto"/>
                <w:kern w:val="15"/>
                <w:sz w:val="24"/>
                <w:szCs w:val="24"/>
                <w:highlight w:val="none"/>
              </w:rPr>
              <w:instrText xml:space="preserve">eq \o\ac(□,√)</w:instrText>
            </w:r>
            <w:r>
              <w:rPr>
                <w:rFonts w:hint="eastAsia" w:ascii="宋体" w:hAnsi="宋体" w:eastAsia="宋体" w:cs="宋体"/>
                <w:bCs/>
                <w:color w:val="auto"/>
                <w:kern w:val="15"/>
                <w:sz w:val="24"/>
                <w:szCs w:val="24"/>
                <w:highlight w:val="none"/>
              </w:rPr>
              <w:fldChar w:fldCharType="end"/>
            </w:r>
            <w:r>
              <w:rPr>
                <w:rFonts w:hint="eastAsia" w:ascii="宋体" w:hAnsi="宋体" w:eastAsia="宋体" w:cs="宋体"/>
                <w:bCs/>
                <w:color w:val="auto"/>
                <w:sz w:val="24"/>
                <w:szCs w:val="24"/>
                <w:highlight w:val="none"/>
              </w:rPr>
              <w:t>不接受</w:t>
            </w:r>
          </w:p>
          <w:p w14:paraId="623CF88B">
            <w:pPr>
              <w:keepNext w:val="0"/>
              <w:keepLines w:val="0"/>
              <w:pageBreakBefore w:val="0"/>
              <w:widowControl w:val="0"/>
              <w:kinsoku/>
              <w:wordWrap w:val="0"/>
              <w:overflowPunct/>
              <w:topLinePunct w:val="0"/>
              <w:autoSpaceDE/>
              <w:autoSpaceDN/>
              <w:bidi w:val="0"/>
              <w:adjustRightInd w:val="0"/>
              <w:spacing w:line="44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□接受，应满足下列要求：/</w:t>
            </w:r>
          </w:p>
        </w:tc>
      </w:tr>
      <w:tr w14:paraId="34D5C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763C7A6E">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1.9.1</w:t>
            </w:r>
          </w:p>
        </w:tc>
        <w:tc>
          <w:tcPr>
            <w:tcW w:w="1692" w:type="dxa"/>
            <w:noWrap w:val="0"/>
            <w:vAlign w:val="center"/>
          </w:tcPr>
          <w:p w14:paraId="7C8967F1">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踏勘现场</w:t>
            </w:r>
          </w:p>
        </w:tc>
        <w:tc>
          <w:tcPr>
            <w:tcW w:w="7050" w:type="dxa"/>
            <w:tcBorders>
              <w:top w:val="single" w:color="auto" w:sz="4" w:space="0"/>
            </w:tcBorders>
            <w:noWrap w:val="0"/>
            <w:vAlign w:val="center"/>
          </w:tcPr>
          <w:p w14:paraId="5E542661">
            <w:pPr>
              <w:keepNext w:val="0"/>
              <w:keepLines w:val="0"/>
              <w:pageBreakBefore w:val="0"/>
              <w:widowControl w:val="0"/>
              <w:kinsoku/>
              <w:wordWrap w:val="0"/>
              <w:overflowPunct/>
              <w:topLinePunct w:val="0"/>
              <w:autoSpaceDE/>
              <w:autoSpaceDN/>
              <w:bidi w:val="0"/>
              <w:adjustRightInd w:val="0"/>
              <w:spacing w:line="44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eq \o\ac(□,√)</w:instrText>
            </w:r>
            <w:r>
              <w:rPr>
                <w:rFonts w:hint="eastAsia" w:ascii="宋体" w:hAnsi="宋体" w:eastAsia="宋体" w:cs="宋体"/>
                <w:bCs/>
                <w:color w:val="auto"/>
                <w:sz w:val="24"/>
                <w:szCs w:val="24"/>
                <w:highlight w:val="none"/>
                <w:lang w:val="zh-CN"/>
              </w:rPr>
              <w:fldChar w:fldCharType="end"/>
            </w:r>
            <w:r>
              <w:rPr>
                <w:rFonts w:hint="eastAsia" w:ascii="宋体" w:hAnsi="宋体" w:eastAsia="宋体" w:cs="宋体"/>
                <w:bCs/>
                <w:color w:val="auto"/>
                <w:sz w:val="24"/>
                <w:szCs w:val="24"/>
                <w:highlight w:val="none"/>
                <w:lang w:val="zh-CN"/>
              </w:rPr>
              <w:t>不组织</w:t>
            </w:r>
          </w:p>
          <w:p w14:paraId="086608E5">
            <w:pPr>
              <w:keepNext w:val="0"/>
              <w:keepLines w:val="0"/>
              <w:pageBreakBefore w:val="0"/>
              <w:widowControl w:val="0"/>
              <w:kinsoku/>
              <w:wordWrap w:val="0"/>
              <w:overflowPunct/>
              <w:topLinePunct w:val="0"/>
              <w:autoSpaceDE/>
              <w:autoSpaceDN/>
              <w:bidi w:val="0"/>
              <w:adjustRightInd w:val="0"/>
              <w:spacing w:line="44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□组织，踏勘时间：/</w:t>
            </w:r>
          </w:p>
          <w:p w14:paraId="47D4A790">
            <w:pPr>
              <w:keepNext w:val="0"/>
              <w:keepLines w:val="0"/>
              <w:pageBreakBefore w:val="0"/>
              <w:widowControl w:val="0"/>
              <w:kinsoku/>
              <w:wordWrap w:val="0"/>
              <w:overflowPunct/>
              <w:topLinePunct w:val="0"/>
              <w:autoSpaceDE/>
              <w:autoSpaceDN/>
              <w:bidi w:val="0"/>
              <w:adjustRightInd w:val="0"/>
              <w:spacing w:line="440" w:lineRule="exact"/>
              <w:ind w:firstLine="960" w:firstLineChars="4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踏勘集中地点：/</w:t>
            </w:r>
          </w:p>
        </w:tc>
      </w:tr>
      <w:tr w14:paraId="2B7A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40F615CA">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1.10.1</w:t>
            </w:r>
          </w:p>
        </w:tc>
        <w:tc>
          <w:tcPr>
            <w:tcW w:w="1692" w:type="dxa"/>
            <w:noWrap w:val="0"/>
            <w:vAlign w:val="center"/>
          </w:tcPr>
          <w:p w14:paraId="6346F2A8">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投标预备会</w:t>
            </w:r>
          </w:p>
        </w:tc>
        <w:tc>
          <w:tcPr>
            <w:tcW w:w="7050" w:type="dxa"/>
            <w:noWrap w:val="0"/>
            <w:vAlign w:val="center"/>
          </w:tcPr>
          <w:p w14:paraId="72D21B5A">
            <w:pPr>
              <w:keepNext w:val="0"/>
              <w:keepLines w:val="0"/>
              <w:pageBreakBefore w:val="0"/>
              <w:widowControl w:val="0"/>
              <w:kinsoku/>
              <w:wordWrap w:val="0"/>
              <w:overflowPunct/>
              <w:topLinePunct w:val="0"/>
              <w:autoSpaceDE/>
              <w:autoSpaceDN/>
              <w:bidi w:val="0"/>
              <w:adjustRightInd w:val="0"/>
              <w:spacing w:line="44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eq \o\ac(□,√)</w:instrText>
            </w:r>
            <w:r>
              <w:rPr>
                <w:rFonts w:hint="eastAsia" w:ascii="宋体" w:hAnsi="宋体" w:eastAsia="宋体" w:cs="宋体"/>
                <w:bCs/>
                <w:color w:val="auto"/>
                <w:sz w:val="24"/>
                <w:szCs w:val="24"/>
                <w:highlight w:val="none"/>
                <w:lang w:val="zh-CN"/>
              </w:rPr>
              <w:fldChar w:fldCharType="end"/>
            </w:r>
            <w:r>
              <w:rPr>
                <w:rFonts w:hint="eastAsia" w:ascii="宋体" w:hAnsi="宋体" w:eastAsia="宋体" w:cs="宋体"/>
                <w:bCs/>
                <w:color w:val="auto"/>
                <w:sz w:val="24"/>
                <w:szCs w:val="24"/>
                <w:highlight w:val="none"/>
                <w:lang w:val="zh-CN"/>
              </w:rPr>
              <w:t>不召开</w:t>
            </w:r>
          </w:p>
          <w:p w14:paraId="6831A34D">
            <w:pPr>
              <w:keepNext w:val="0"/>
              <w:keepLines w:val="0"/>
              <w:pageBreakBefore w:val="0"/>
              <w:widowControl w:val="0"/>
              <w:kinsoku/>
              <w:wordWrap w:val="0"/>
              <w:overflowPunct/>
              <w:topLinePunct w:val="0"/>
              <w:autoSpaceDE/>
              <w:autoSpaceDN/>
              <w:bidi w:val="0"/>
              <w:adjustRightInd w:val="0"/>
              <w:spacing w:line="44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□召开,召开时间：/</w:t>
            </w:r>
          </w:p>
          <w:p w14:paraId="2E6F878B">
            <w:pPr>
              <w:keepNext w:val="0"/>
              <w:keepLines w:val="0"/>
              <w:pageBreakBefore w:val="0"/>
              <w:widowControl w:val="0"/>
              <w:kinsoku/>
              <w:wordWrap w:val="0"/>
              <w:overflowPunct/>
              <w:topLinePunct w:val="0"/>
              <w:autoSpaceDE/>
              <w:autoSpaceDN/>
              <w:bidi w:val="0"/>
              <w:adjustRightInd w:val="0"/>
              <w:spacing w:line="440" w:lineRule="exact"/>
              <w:ind w:firstLine="840" w:firstLineChars="35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召开地点：/</w:t>
            </w:r>
          </w:p>
        </w:tc>
      </w:tr>
      <w:tr w14:paraId="11F6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vMerge w:val="restart"/>
            <w:noWrap w:val="0"/>
            <w:vAlign w:val="center"/>
          </w:tcPr>
          <w:p w14:paraId="6AABDDC1">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1.10.2</w:t>
            </w:r>
          </w:p>
        </w:tc>
        <w:tc>
          <w:tcPr>
            <w:tcW w:w="1692" w:type="dxa"/>
            <w:vMerge w:val="restart"/>
            <w:noWrap w:val="0"/>
            <w:vAlign w:val="center"/>
          </w:tcPr>
          <w:p w14:paraId="5B055244">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在投标预备会前提出问题</w:t>
            </w:r>
          </w:p>
        </w:tc>
        <w:tc>
          <w:tcPr>
            <w:tcW w:w="7050" w:type="dxa"/>
            <w:noWrap w:val="0"/>
            <w:vAlign w:val="center"/>
          </w:tcPr>
          <w:p w14:paraId="4ACDE50C">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lang w:val="zh-CN"/>
              </w:rPr>
              <w:t>/</w:t>
            </w:r>
          </w:p>
        </w:tc>
      </w:tr>
      <w:tr w14:paraId="0EC6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vMerge w:val="continue"/>
            <w:noWrap w:val="0"/>
            <w:vAlign w:val="center"/>
          </w:tcPr>
          <w:p w14:paraId="60F142B6">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p>
        </w:tc>
        <w:tc>
          <w:tcPr>
            <w:tcW w:w="1692" w:type="dxa"/>
            <w:vMerge w:val="continue"/>
            <w:noWrap w:val="0"/>
            <w:vAlign w:val="center"/>
          </w:tcPr>
          <w:p w14:paraId="48DD5371">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p>
        </w:tc>
        <w:tc>
          <w:tcPr>
            <w:tcW w:w="7050" w:type="dxa"/>
            <w:noWrap w:val="0"/>
            <w:vAlign w:val="center"/>
          </w:tcPr>
          <w:p w14:paraId="3CF4A7D2">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形式：</w:t>
            </w:r>
            <w:r>
              <w:rPr>
                <w:rFonts w:hint="eastAsia" w:ascii="宋体" w:hAnsi="宋体" w:eastAsia="宋体" w:cs="宋体"/>
                <w:bCs/>
                <w:color w:val="auto"/>
                <w:sz w:val="24"/>
                <w:szCs w:val="24"/>
                <w:highlight w:val="none"/>
                <w:lang w:val="zh-CN"/>
              </w:rPr>
              <w:t>/</w:t>
            </w:r>
          </w:p>
        </w:tc>
      </w:tr>
      <w:tr w14:paraId="1CD2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7ABE97B2">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1.11.1</w:t>
            </w:r>
          </w:p>
        </w:tc>
        <w:tc>
          <w:tcPr>
            <w:tcW w:w="1692" w:type="dxa"/>
            <w:noWrap w:val="0"/>
            <w:vAlign w:val="center"/>
          </w:tcPr>
          <w:p w14:paraId="31700C67">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分包</w:t>
            </w:r>
          </w:p>
        </w:tc>
        <w:tc>
          <w:tcPr>
            <w:tcW w:w="7050" w:type="dxa"/>
            <w:noWrap w:val="0"/>
            <w:vAlign w:val="center"/>
          </w:tcPr>
          <w:p w14:paraId="5A391674">
            <w:pPr>
              <w:keepNext w:val="0"/>
              <w:keepLines w:val="0"/>
              <w:pageBreakBefore w:val="0"/>
              <w:widowControl w:val="0"/>
              <w:kinsoku/>
              <w:wordWrap w:val="0"/>
              <w:overflowPunct/>
              <w:topLinePunct w:val="0"/>
              <w:autoSpaceDE/>
              <w:autoSpaceDN/>
              <w:bidi w:val="0"/>
              <w:adjustRightInd w:val="0"/>
              <w:spacing w:line="44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highlight w:val="none"/>
                <w:lang w:val="zh-CN"/>
              </w:rPr>
              <w:fldChar w:fldCharType="begin"/>
            </w:r>
            <w:r>
              <w:rPr>
                <w:rFonts w:hint="eastAsia" w:ascii="宋体" w:hAnsi="宋体" w:eastAsia="宋体" w:cs="宋体"/>
                <w:bCs/>
                <w:color w:val="auto"/>
                <w:sz w:val="24"/>
                <w:highlight w:val="none"/>
                <w:lang w:val="zh-CN"/>
              </w:rPr>
              <w:instrText xml:space="preserve">eq \o\ac(□,√)</w:instrText>
            </w:r>
            <w:r>
              <w:rPr>
                <w:rFonts w:hint="eastAsia" w:ascii="宋体" w:hAnsi="宋体" w:eastAsia="宋体" w:cs="宋体"/>
                <w:bCs/>
                <w:color w:val="auto"/>
                <w:sz w:val="24"/>
                <w:highlight w:val="none"/>
                <w:lang w:val="zh-CN"/>
              </w:rPr>
              <w:fldChar w:fldCharType="end"/>
            </w:r>
            <w:r>
              <w:rPr>
                <w:rFonts w:hint="eastAsia" w:ascii="宋体" w:hAnsi="宋体" w:eastAsia="宋体" w:cs="宋体"/>
                <w:bCs/>
                <w:color w:val="auto"/>
                <w:sz w:val="24"/>
                <w:szCs w:val="24"/>
                <w:highlight w:val="none"/>
                <w:lang w:val="zh-CN"/>
              </w:rPr>
              <w:t>不允许</w:t>
            </w:r>
          </w:p>
          <w:p w14:paraId="4BFEBC52">
            <w:pPr>
              <w:keepNext w:val="0"/>
              <w:keepLines w:val="0"/>
              <w:pageBreakBefore w:val="0"/>
              <w:widowControl w:val="0"/>
              <w:kinsoku/>
              <w:wordWrap w:val="0"/>
              <w:overflowPunct/>
              <w:topLinePunct w:val="0"/>
              <w:autoSpaceDE/>
              <w:autoSpaceDN/>
              <w:bidi w:val="0"/>
              <w:adjustRightInd w:val="0"/>
              <w:spacing w:line="44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□允许，分包内容：/</w:t>
            </w:r>
          </w:p>
        </w:tc>
      </w:tr>
      <w:tr w14:paraId="344B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36DA9CBD">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1.12.3</w:t>
            </w:r>
          </w:p>
        </w:tc>
        <w:tc>
          <w:tcPr>
            <w:tcW w:w="1692" w:type="dxa"/>
            <w:noWrap w:val="0"/>
            <w:vAlign w:val="center"/>
          </w:tcPr>
          <w:p w14:paraId="4AE0A842">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偏离</w:t>
            </w:r>
          </w:p>
        </w:tc>
        <w:tc>
          <w:tcPr>
            <w:tcW w:w="7050" w:type="dxa"/>
            <w:noWrap w:val="0"/>
            <w:vAlign w:val="center"/>
          </w:tcPr>
          <w:p w14:paraId="77EEFB99">
            <w:pPr>
              <w:keepNext w:val="0"/>
              <w:keepLines w:val="0"/>
              <w:pageBreakBefore w:val="0"/>
              <w:widowControl w:val="0"/>
              <w:kinsoku/>
              <w:wordWrap w:val="0"/>
              <w:overflowPunct/>
              <w:topLinePunct w:val="0"/>
              <w:autoSpaceDE/>
              <w:autoSpaceDN/>
              <w:bidi w:val="0"/>
              <w:adjustRightInd w:val="0"/>
              <w:spacing w:line="440" w:lineRule="exact"/>
              <w:textAlignment w:val="auto"/>
              <w:rPr>
                <w:rFonts w:hint="default" w:ascii="宋体" w:hAnsi="宋体" w:eastAsia="宋体" w:cs="宋体"/>
                <w:bCs/>
                <w:color w:val="auto"/>
                <w:sz w:val="24"/>
                <w:szCs w:val="24"/>
                <w:highlight w:val="none"/>
                <w:lang w:val="en-US" w:eastAsia="zh-CN"/>
              </w:rPr>
            </w:pPr>
            <w:r>
              <w:rPr>
                <w:rFonts w:hint="eastAsia" w:ascii="宋体" w:hAnsi="宋体" w:cs="宋体"/>
                <w:color w:val="auto"/>
                <w:sz w:val="24"/>
                <w:szCs w:val="24"/>
                <w:highlight w:val="none"/>
                <w:lang w:val="en-US" w:eastAsia="zh-CN"/>
              </w:rPr>
              <w:t>商务条款不允许负偏离。</w:t>
            </w:r>
          </w:p>
        </w:tc>
      </w:tr>
      <w:tr w14:paraId="7F5D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240C92C9">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2.1</w:t>
            </w:r>
          </w:p>
        </w:tc>
        <w:tc>
          <w:tcPr>
            <w:tcW w:w="1692" w:type="dxa"/>
            <w:noWrap w:val="0"/>
            <w:vAlign w:val="center"/>
          </w:tcPr>
          <w:p w14:paraId="65D4C7EF">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构成招标文件的其他材料</w:t>
            </w:r>
          </w:p>
        </w:tc>
        <w:tc>
          <w:tcPr>
            <w:tcW w:w="7050" w:type="dxa"/>
            <w:noWrap w:val="0"/>
            <w:vAlign w:val="center"/>
          </w:tcPr>
          <w:p w14:paraId="54885636">
            <w:pPr>
              <w:keepNext w:val="0"/>
              <w:keepLines w:val="0"/>
              <w:pageBreakBefore w:val="0"/>
              <w:widowControl w:val="0"/>
              <w:kinsoku/>
              <w:wordWrap w:val="0"/>
              <w:overflowPunct/>
              <w:topLinePunct w:val="0"/>
              <w:autoSpaceDE/>
              <w:autoSpaceDN/>
              <w:bidi w:val="0"/>
              <w:adjustRightInd w:val="0"/>
              <w:snapToGrid/>
              <w:spacing w:line="0" w:lineRule="atLeas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本项目的澄清、修改、补充说明文件</w:t>
            </w:r>
            <w:r>
              <w:rPr>
                <w:rFonts w:hint="eastAsia" w:ascii="宋体" w:hAnsi="宋体" w:eastAsia="宋体" w:cs="宋体"/>
                <w:bCs/>
                <w:color w:val="auto"/>
                <w:sz w:val="24"/>
                <w:szCs w:val="24"/>
                <w:highlight w:val="none"/>
              </w:rPr>
              <w:t>（如有）。</w:t>
            </w:r>
          </w:p>
          <w:p w14:paraId="50256696">
            <w:pPr>
              <w:keepNext w:val="0"/>
              <w:keepLines w:val="0"/>
              <w:pageBreakBefore w:val="0"/>
              <w:widowControl w:val="0"/>
              <w:kinsoku/>
              <w:wordWrap w:val="0"/>
              <w:overflowPunct/>
              <w:topLinePunct w:val="0"/>
              <w:autoSpaceDE/>
              <w:autoSpaceDN/>
              <w:bidi w:val="0"/>
              <w:adjustRightInd w:val="0"/>
              <w:snapToGrid/>
              <w:spacing w:line="0" w:lineRule="atLeas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注：采购代理机构将上述内容以带有编号的补遗文件发送到</w:t>
            </w:r>
            <w:r>
              <w:rPr>
                <w:rFonts w:hint="eastAsia" w:ascii="宋体" w:hAnsi="宋体" w:eastAsia="宋体" w:cs="宋体"/>
                <w:color w:val="auto"/>
                <w:sz w:val="24"/>
                <w:szCs w:val="24"/>
                <w:highlight w:val="none"/>
                <w:lang w:eastAsia="zh-CN"/>
              </w:rPr>
              <w:t>“政采云”平台(</w:t>
            </w:r>
            <w:r>
              <w:rPr>
                <w:rFonts w:hint="eastAsia" w:ascii="宋体" w:hAnsi="宋体" w:cs="宋体"/>
                <w:color w:val="auto"/>
                <w:sz w:val="24"/>
                <w:szCs w:val="24"/>
                <w:highlight w:val="none"/>
                <w:lang w:eastAsia="zh-CN"/>
              </w:rPr>
              <w:t>https://www.zcygov.cn</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lang w:val="zh-CN"/>
              </w:rPr>
              <w:t>答疑文件</w:t>
            </w:r>
            <w:r>
              <w:rPr>
                <w:rFonts w:hint="eastAsia" w:ascii="宋体" w:hAnsi="宋体" w:eastAsia="宋体" w:cs="宋体"/>
                <w:bCs/>
                <w:color w:val="auto"/>
                <w:sz w:val="24"/>
                <w:szCs w:val="24"/>
                <w:highlight w:val="none"/>
              </w:rPr>
              <w:t>中，各</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登录</w:t>
            </w:r>
            <w:r>
              <w:rPr>
                <w:rFonts w:hint="eastAsia" w:ascii="宋体" w:hAnsi="宋体" w:eastAsia="宋体" w:cs="宋体"/>
                <w:color w:val="auto"/>
                <w:sz w:val="24"/>
                <w:szCs w:val="24"/>
                <w:highlight w:val="none"/>
                <w:lang w:eastAsia="zh-CN"/>
              </w:rPr>
              <w:t>“政采云”平台(</w:t>
            </w:r>
            <w:r>
              <w:rPr>
                <w:rFonts w:hint="eastAsia" w:ascii="宋体" w:hAnsi="宋体" w:cs="宋体"/>
                <w:color w:val="auto"/>
                <w:sz w:val="24"/>
                <w:szCs w:val="24"/>
                <w:highlight w:val="none"/>
                <w:lang w:eastAsia="zh-CN"/>
              </w:rPr>
              <w:t>https://www.zcygov.cn</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rPr>
              <w:t>答疑文件处自行下载。如果</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未在上述答疑文件中收到相应文件，请及时与采购代理机构联系，否则采购人和采购代理机构不承担任何责任。</w:t>
            </w:r>
          </w:p>
        </w:tc>
      </w:tr>
      <w:tr w14:paraId="1522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vMerge w:val="restart"/>
            <w:noWrap w:val="0"/>
            <w:vAlign w:val="center"/>
          </w:tcPr>
          <w:p w14:paraId="2BB11DDB">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2.2.1</w:t>
            </w:r>
          </w:p>
        </w:tc>
        <w:tc>
          <w:tcPr>
            <w:tcW w:w="1692" w:type="dxa"/>
            <w:vMerge w:val="restart"/>
            <w:noWrap w:val="0"/>
            <w:vAlign w:val="center"/>
          </w:tcPr>
          <w:p w14:paraId="1AE78ED0">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供应商要求澄清招标文件</w:t>
            </w:r>
          </w:p>
        </w:tc>
        <w:tc>
          <w:tcPr>
            <w:tcW w:w="7050" w:type="dxa"/>
            <w:noWrap w:val="0"/>
            <w:vAlign w:val="center"/>
          </w:tcPr>
          <w:p w14:paraId="69023CD0">
            <w:pPr>
              <w:keepNext w:val="0"/>
              <w:keepLines w:val="0"/>
              <w:pageBreakBefore w:val="0"/>
              <w:widowControl w:val="0"/>
              <w:kinsoku/>
              <w:wordWrap w:val="0"/>
              <w:overflowPunct/>
              <w:topLinePunct w:val="0"/>
              <w:autoSpaceDE/>
              <w:autoSpaceDN/>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时间：递交投标文件截止之日</w:t>
            </w:r>
            <w:r>
              <w:rPr>
                <w:rFonts w:hint="eastAsia" w:ascii="宋体" w:hAnsi="宋体" w:eastAsia="宋体" w:cs="宋体"/>
                <w:bCs/>
                <w:color w:val="auto"/>
                <w:sz w:val="24"/>
                <w:szCs w:val="24"/>
                <w:highlight w:val="none"/>
                <w:u w:val="single"/>
              </w:rPr>
              <w:t>10</w:t>
            </w:r>
            <w:r>
              <w:rPr>
                <w:rFonts w:hint="eastAsia" w:ascii="宋体" w:hAnsi="宋体" w:eastAsia="宋体" w:cs="宋体"/>
                <w:bCs/>
                <w:color w:val="auto"/>
                <w:sz w:val="24"/>
                <w:szCs w:val="24"/>
                <w:highlight w:val="none"/>
              </w:rPr>
              <w:t>天前</w:t>
            </w:r>
          </w:p>
        </w:tc>
      </w:tr>
      <w:tr w14:paraId="31197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vMerge w:val="continue"/>
            <w:noWrap w:val="0"/>
            <w:vAlign w:val="center"/>
          </w:tcPr>
          <w:p w14:paraId="25869FF1">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p>
        </w:tc>
        <w:tc>
          <w:tcPr>
            <w:tcW w:w="1692" w:type="dxa"/>
            <w:vMerge w:val="continue"/>
            <w:noWrap w:val="0"/>
            <w:vAlign w:val="center"/>
          </w:tcPr>
          <w:p w14:paraId="36F59B6A">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p>
        </w:tc>
        <w:tc>
          <w:tcPr>
            <w:tcW w:w="7050" w:type="dxa"/>
            <w:noWrap w:val="0"/>
            <w:vAlign w:val="center"/>
          </w:tcPr>
          <w:p w14:paraId="191B0864">
            <w:pPr>
              <w:keepNext w:val="0"/>
              <w:keepLines w:val="0"/>
              <w:pageBreakBefore w:val="0"/>
              <w:widowControl w:val="0"/>
              <w:kinsoku/>
              <w:wordWrap w:val="0"/>
              <w:overflowPunct/>
              <w:topLinePunct w:val="0"/>
              <w:autoSpaceDE/>
              <w:autoSpaceDN/>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形式：各供应商使用CA数字证书登录</w:t>
            </w:r>
            <w:r>
              <w:rPr>
                <w:rFonts w:hint="eastAsia" w:ascii="宋体" w:hAnsi="宋体" w:eastAsia="宋体" w:cs="宋体"/>
                <w:color w:val="auto"/>
                <w:sz w:val="24"/>
                <w:szCs w:val="24"/>
                <w:highlight w:val="none"/>
                <w:lang w:eastAsia="zh-CN"/>
              </w:rPr>
              <w:t>“政采云”平台(</w:t>
            </w:r>
            <w:r>
              <w:rPr>
                <w:rFonts w:hint="eastAsia" w:ascii="宋体" w:hAnsi="宋体" w:cs="宋体"/>
                <w:color w:val="auto"/>
                <w:sz w:val="24"/>
                <w:szCs w:val="24"/>
                <w:highlight w:val="none"/>
                <w:lang w:eastAsia="zh-CN"/>
              </w:rPr>
              <w:t>https://www.zcygov.cn</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lang w:val="zh-CN"/>
              </w:rPr>
              <w:t>供应商提问栏在线提问，并致电采购代理机构</w:t>
            </w:r>
            <w:r>
              <w:rPr>
                <w:rFonts w:hint="eastAsia" w:ascii="宋体" w:hAnsi="宋体" w:eastAsia="宋体" w:cs="宋体"/>
                <w:color w:val="auto"/>
                <w:sz w:val="24"/>
                <w:szCs w:val="24"/>
                <w:highlight w:val="none"/>
                <w:lang w:eastAsia="zh-CN"/>
              </w:rPr>
              <w:t>043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81685832</w:t>
            </w:r>
            <w:r>
              <w:rPr>
                <w:rFonts w:hint="eastAsia" w:ascii="宋体" w:hAnsi="宋体" w:eastAsia="宋体" w:cs="宋体"/>
                <w:bCs/>
                <w:color w:val="auto"/>
                <w:sz w:val="24"/>
                <w:szCs w:val="24"/>
                <w:highlight w:val="none"/>
                <w:lang w:val="zh-CN"/>
              </w:rPr>
              <w:t>（供应商在此时间之后提出的问题，采购人不再进行澄清和答复）。</w:t>
            </w:r>
          </w:p>
        </w:tc>
      </w:tr>
      <w:tr w14:paraId="03C3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53DC83F0">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2.2.2</w:t>
            </w:r>
          </w:p>
        </w:tc>
        <w:tc>
          <w:tcPr>
            <w:tcW w:w="1692" w:type="dxa"/>
            <w:noWrap w:val="0"/>
            <w:vAlign w:val="center"/>
          </w:tcPr>
          <w:p w14:paraId="51EFD018">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招标文件澄清发出的形式</w:t>
            </w:r>
          </w:p>
        </w:tc>
        <w:tc>
          <w:tcPr>
            <w:tcW w:w="7050" w:type="dxa"/>
            <w:noWrap w:val="0"/>
            <w:vAlign w:val="center"/>
          </w:tcPr>
          <w:p w14:paraId="3C54D357">
            <w:pPr>
              <w:keepNext w:val="0"/>
              <w:keepLines w:val="0"/>
              <w:pageBreakBefore w:val="0"/>
              <w:widowControl w:val="0"/>
              <w:kinsoku/>
              <w:wordWrap w:val="0"/>
              <w:overflowPunct/>
              <w:topLinePunct w:val="0"/>
              <w:autoSpaceDE/>
              <w:autoSpaceDN/>
              <w:bidi w:val="0"/>
              <w:adjustRightInd w:val="0"/>
              <w:spacing w:line="44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详见本章2.1款。</w:t>
            </w:r>
          </w:p>
        </w:tc>
      </w:tr>
      <w:tr w14:paraId="0084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vMerge w:val="restart"/>
            <w:noWrap w:val="0"/>
            <w:vAlign w:val="center"/>
          </w:tcPr>
          <w:p w14:paraId="5EEF3621">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2.2.3</w:t>
            </w:r>
          </w:p>
        </w:tc>
        <w:tc>
          <w:tcPr>
            <w:tcW w:w="1692" w:type="dxa"/>
            <w:vMerge w:val="restart"/>
            <w:noWrap w:val="0"/>
            <w:vAlign w:val="center"/>
          </w:tcPr>
          <w:p w14:paraId="1A253CD0">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供应商确认收到招标文件澄清</w:t>
            </w:r>
          </w:p>
        </w:tc>
        <w:tc>
          <w:tcPr>
            <w:tcW w:w="7050" w:type="dxa"/>
            <w:noWrap w:val="0"/>
            <w:vAlign w:val="center"/>
          </w:tcPr>
          <w:p w14:paraId="773B2AEC">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时间：收到澄清后</w:t>
            </w:r>
            <w:r>
              <w:rPr>
                <w:rFonts w:hint="eastAsia" w:ascii="宋体" w:hAnsi="宋体" w:eastAsia="宋体" w:cs="宋体"/>
                <w:bCs/>
                <w:color w:val="auto"/>
                <w:sz w:val="24"/>
                <w:szCs w:val="24"/>
                <w:highlight w:val="none"/>
                <w:u w:val="single"/>
              </w:rPr>
              <w:t>24小时</w:t>
            </w:r>
            <w:r>
              <w:rPr>
                <w:rFonts w:hint="eastAsia" w:ascii="宋体" w:hAnsi="宋体" w:eastAsia="宋体" w:cs="宋体"/>
                <w:bCs/>
                <w:color w:val="auto"/>
                <w:sz w:val="24"/>
                <w:szCs w:val="24"/>
                <w:highlight w:val="none"/>
              </w:rPr>
              <w:t>内（以发出时间为准）。</w:t>
            </w:r>
          </w:p>
        </w:tc>
      </w:tr>
      <w:tr w14:paraId="2C8C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vMerge w:val="continue"/>
            <w:noWrap w:val="0"/>
            <w:vAlign w:val="center"/>
          </w:tcPr>
          <w:p w14:paraId="4BB9ED60">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yellow"/>
                <w:lang w:val="zh-CN"/>
              </w:rPr>
            </w:pPr>
          </w:p>
        </w:tc>
        <w:tc>
          <w:tcPr>
            <w:tcW w:w="1692" w:type="dxa"/>
            <w:vMerge w:val="continue"/>
            <w:noWrap w:val="0"/>
            <w:vAlign w:val="center"/>
          </w:tcPr>
          <w:p w14:paraId="05F28252">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yellow"/>
                <w:lang w:val="zh-CN"/>
              </w:rPr>
            </w:pPr>
          </w:p>
        </w:tc>
        <w:tc>
          <w:tcPr>
            <w:tcW w:w="7050" w:type="dxa"/>
            <w:noWrap w:val="0"/>
            <w:vAlign w:val="center"/>
          </w:tcPr>
          <w:p w14:paraId="610C272E">
            <w:pPr>
              <w:keepNext w:val="0"/>
              <w:keepLines w:val="0"/>
              <w:pageBreakBefore w:val="0"/>
              <w:widowControl w:val="0"/>
              <w:kinsoku/>
              <w:wordWrap w:val="0"/>
              <w:overflowPunct/>
              <w:topLinePunct w:val="0"/>
              <w:autoSpaceDE/>
              <w:autoSpaceDN/>
              <w:bidi w:val="0"/>
              <w:adjustRightInd w:val="0"/>
              <w:spacing w:line="440" w:lineRule="exact"/>
              <w:rPr>
                <w:rFonts w:hint="eastAsia" w:ascii="宋体" w:hAnsi="宋体" w:eastAsia="宋体" w:cs="宋体"/>
                <w:bCs/>
                <w:color w:val="auto"/>
                <w:sz w:val="24"/>
                <w:szCs w:val="24"/>
                <w:highlight w:val="yellow"/>
              </w:rPr>
            </w:pPr>
            <w:r>
              <w:rPr>
                <w:rFonts w:hint="eastAsia" w:ascii="宋体" w:hAnsi="宋体" w:eastAsia="宋体" w:cs="宋体"/>
                <w:bCs/>
                <w:color w:val="auto"/>
                <w:sz w:val="24"/>
                <w:szCs w:val="24"/>
                <w:highlight w:val="none"/>
                <w:lang w:val="zh-CN"/>
              </w:rPr>
              <w:t>形式：本项目所有修改文件均在</w:t>
            </w:r>
            <w:r>
              <w:rPr>
                <w:rFonts w:hint="eastAsia" w:ascii="宋体" w:hAnsi="宋体" w:eastAsia="宋体" w:cs="宋体"/>
                <w:color w:val="auto"/>
                <w:sz w:val="24"/>
                <w:szCs w:val="24"/>
                <w:highlight w:val="none"/>
                <w:lang w:eastAsia="zh-CN"/>
              </w:rPr>
              <w:t>“政采云”平台(</w:t>
            </w:r>
            <w:r>
              <w:rPr>
                <w:rFonts w:hint="eastAsia" w:ascii="宋体" w:hAnsi="宋体" w:cs="宋体"/>
                <w:color w:val="auto"/>
                <w:sz w:val="24"/>
                <w:szCs w:val="24"/>
                <w:highlight w:val="none"/>
                <w:lang w:eastAsia="zh-CN"/>
              </w:rPr>
              <w:t>https://www.zcygov.cn</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lang w:val="zh-CN"/>
              </w:rPr>
              <w:t>”中发布，供应商收到后必须以确认函的形式发送至采购代理机构的邮箱jlsblb@163.com，因供应商自身原因未能及时查阅下载所导致的对本项目有关文件理解错误由供应商自行承担。</w:t>
            </w:r>
          </w:p>
        </w:tc>
      </w:tr>
      <w:tr w14:paraId="0026C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516A45A1">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2.3.1</w:t>
            </w:r>
          </w:p>
        </w:tc>
        <w:tc>
          <w:tcPr>
            <w:tcW w:w="1692" w:type="dxa"/>
            <w:noWrap w:val="0"/>
            <w:vAlign w:val="center"/>
          </w:tcPr>
          <w:p w14:paraId="34B892F6">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招标文件修改发出的形式</w:t>
            </w:r>
          </w:p>
        </w:tc>
        <w:tc>
          <w:tcPr>
            <w:tcW w:w="7050" w:type="dxa"/>
            <w:noWrap w:val="0"/>
            <w:vAlign w:val="center"/>
          </w:tcPr>
          <w:p w14:paraId="6F2FA4A1">
            <w:pPr>
              <w:pStyle w:val="29"/>
              <w:keepNext w:val="0"/>
              <w:keepLines w:val="0"/>
              <w:pageBreakBefore w:val="0"/>
              <w:widowControl w:val="0"/>
              <w:pBdr>
                <w:bottom w:val="none" w:color="auto" w:sz="0" w:space="0"/>
              </w:pBdr>
              <w:tabs>
                <w:tab w:val="clear" w:pos="4153"/>
                <w:tab w:val="clear" w:pos="8306"/>
              </w:tabs>
              <w:kinsoku/>
              <w:wordWrap w:val="0"/>
              <w:overflowPunct/>
              <w:topLinePunct w:val="0"/>
              <w:autoSpaceDE/>
              <w:autoSpaceDN/>
              <w:bidi w:val="0"/>
              <w:adjustRightInd w:val="0"/>
              <w:snapToGrid/>
              <w:spacing w:line="440" w:lineRule="exact"/>
              <w:jc w:val="both"/>
              <w:textAlignment w:val="auto"/>
              <w:rPr>
                <w:rFonts w:hint="eastAsia" w:ascii="宋体" w:hAnsi="宋体" w:eastAsia="宋体" w:cs="宋体"/>
                <w:bCs/>
                <w:color w:val="auto"/>
                <w:kern w:val="2"/>
                <w:sz w:val="24"/>
                <w:szCs w:val="24"/>
                <w:highlight w:val="none"/>
                <w:lang w:val="zh-CN" w:eastAsia="zh-CN"/>
              </w:rPr>
            </w:pPr>
            <w:r>
              <w:rPr>
                <w:rFonts w:hint="eastAsia" w:ascii="宋体" w:hAnsi="宋体" w:eastAsia="宋体" w:cs="宋体"/>
                <w:bCs/>
                <w:color w:val="auto"/>
                <w:sz w:val="24"/>
                <w:szCs w:val="24"/>
                <w:highlight w:val="none"/>
                <w:lang w:val="zh-CN" w:eastAsia="zh-CN"/>
              </w:rPr>
              <w:t>详见本章2.1款。</w:t>
            </w:r>
          </w:p>
        </w:tc>
      </w:tr>
      <w:tr w14:paraId="4D8B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222" w:type="dxa"/>
            <w:noWrap w:val="0"/>
            <w:vAlign w:val="center"/>
          </w:tcPr>
          <w:p w14:paraId="5977A384">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2.3.2</w:t>
            </w:r>
          </w:p>
        </w:tc>
        <w:tc>
          <w:tcPr>
            <w:tcW w:w="1692" w:type="dxa"/>
            <w:noWrap w:val="0"/>
            <w:vAlign w:val="center"/>
          </w:tcPr>
          <w:p w14:paraId="195C9736">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供应商确认收到招标文件修改</w:t>
            </w:r>
          </w:p>
        </w:tc>
        <w:tc>
          <w:tcPr>
            <w:tcW w:w="7050" w:type="dxa"/>
            <w:noWrap w:val="0"/>
            <w:vAlign w:val="center"/>
          </w:tcPr>
          <w:p w14:paraId="04A9E0BD">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详见本章2.2.3款。</w:t>
            </w:r>
          </w:p>
        </w:tc>
      </w:tr>
      <w:tr w14:paraId="0BAD7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65279D54">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3.2.4</w:t>
            </w:r>
          </w:p>
        </w:tc>
        <w:tc>
          <w:tcPr>
            <w:tcW w:w="1692" w:type="dxa"/>
            <w:noWrap w:val="0"/>
            <w:vAlign w:val="center"/>
          </w:tcPr>
          <w:p w14:paraId="21222603">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预算金额</w:t>
            </w:r>
          </w:p>
        </w:tc>
        <w:tc>
          <w:tcPr>
            <w:tcW w:w="7050" w:type="dxa"/>
            <w:noWrap w:val="0"/>
            <w:vAlign w:val="center"/>
          </w:tcPr>
          <w:p w14:paraId="6F9E49F3">
            <w:pPr>
              <w:keepNext w:val="0"/>
              <w:keepLines w:val="0"/>
              <w:pageBreakBefore w:val="0"/>
              <w:widowControl w:val="0"/>
              <w:kinsoku/>
              <w:wordWrap w:val="0"/>
              <w:overflowPunct/>
              <w:topLinePunct w:val="0"/>
              <w:autoSpaceDE/>
              <w:autoSpaceDN/>
              <w:bidi w:val="0"/>
              <w:adjustRightInd w:val="0"/>
              <w:spacing w:line="440" w:lineRule="exact"/>
              <w:textAlignment w:val="auto"/>
              <w:rPr>
                <w:rFonts w:hint="default" w:ascii="宋体" w:hAnsi="宋体" w:eastAsia="宋体" w:cs="宋体"/>
                <w:bCs/>
                <w:color w:val="auto"/>
                <w:sz w:val="24"/>
                <w:szCs w:val="24"/>
                <w:highlight w:val="none"/>
                <w:lang w:val="en-US"/>
              </w:rPr>
            </w:pPr>
            <w:r>
              <w:rPr>
                <w:rFonts w:hint="eastAsia" w:ascii="宋体" w:hAnsi="宋体" w:eastAsia="宋体" w:cs="宋体"/>
                <w:color w:val="auto"/>
                <w:spacing w:val="0"/>
                <w:kern w:val="0"/>
                <w:sz w:val="24"/>
                <w:szCs w:val="24"/>
                <w:highlight w:val="none"/>
                <w:lang w:val="en-US" w:eastAsia="zh-CN" w:bidi="ar"/>
              </w:rPr>
              <w:t>5,449,600.00元人民币</w:t>
            </w:r>
            <w:r>
              <w:rPr>
                <w:rFonts w:hint="eastAsia" w:ascii="宋体" w:hAnsi="宋体" w:cs="宋体"/>
                <w:color w:val="auto"/>
                <w:kern w:val="0"/>
                <w:sz w:val="24"/>
                <w:szCs w:val="24"/>
                <w:highlight w:val="none"/>
                <w:lang w:val="en-US" w:eastAsia="zh-CN" w:bidi="ar"/>
              </w:rPr>
              <w:t>（最高投标限价）。</w:t>
            </w:r>
          </w:p>
        </w:tc>
      </w:tr>
      <w:tr w14:paraId="0954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7D158F1D">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rPr>
              <w:t>3.2.</w:t>
            </w:r>
            <w:r>
              <w:rPr>
                <w:rFonts w:hint="eastAsia" w:ascii="宋体" w:hAnsi="宋体" w:eastAsia="宋体" w:cs="宋体"/>
                <w:bCs/>
                <w:color w:val="auto"/>
                <w:sz w:val="24"/>
                <w:szCs w:val="24"/>
                <w:highlight w:val="none"/>
                <w:lang w:val="en-US" w:eastAsia="zh-CN"/>
              </w:rPr>
              <w:t>6</w:t>
            </w:r>
          </w:p>
        </w:tc>
        <w:tc>
          <w:tcPr>
            <w:tcW w:w="1692" w:type="dxa"/>
            <w:noWrap w:val="0"/>
            <w:vAlign w:val="center"/>
          </w:tcPr>
          <w:p w14:paraId="37C55C69">
            <w:pPr>
              <w:keepNext w:val="0"/>
              <w:keepLines w:val="0"/>
              <w:pageBreakBefore w:val="0"/>
              <w:widowControl w:val="0"/>
              <w:kinsoku/>
              <w:wordWrap w:val="0"/>
              <w:overflowPunct/>
              <w:topLinePunct w:val="0"/>
              <w:autoSpaceDE/>
              <w:autoSpaceDN/>
              <w:bidi w:val="0"/>
              <w:adjustRightInd w:val="0"/>
              <w:snapToGrid/>
              <w:spacing w:line="240" w:lineRule="auto"/>
              <w:jc w:val="center"/>
              <w:textAlignment w:val="auto"/>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投标报价</w:t>
            </w:r>
          </w:p>
        </w:tc>
        <w:tc>
          <w:tcPr>
            <w:tcW w:w="7050" w:type="dxa"/>
            <w:noWrap w:val="0"/>
            <w:vAlign w:val="center"/>
          </w:tcPr>
          <w:p w14:paraId="48D996DD">
            <w:pPr>
              <w:keepNext w:val="0"/>
              <w:keepLines w:val="0"/>
              <w:pageBreakBefore w:val="0"/>
              <w:kinsoku/>
              <w:overflowPunct/>
              <w:topLinePunct w:val="0"/>
              <w:autoSpaceDE/>
              <w:autoSpaceDN/>
              <w:bidi w:val="0"/>
              <w:snapToGrid/>
              <w:spacing w:line="24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总价</w:t>
            </w:r>
            <w:r>
              <w:rPr>
                <w:rFonts w:hint="eastAsia" w:ascii="宋体" w:hAnsi="宋体" w:eastAsia="宋体" w:cs="宋体"/>
                <w:color w:val="auto"/>
                <w:sz w:val="24"/>
                <w:szCs w:val="24"/>
                <w:highlight w:val="none"/>
                <w:lang w:val="en-US" w:eastAsia="zh-CN"/>
              </w:rPr>
              <w:t>报价</w:t>
            </w:r>
            <w:r>
              <w:rPr>
                <w:rFonts w:hint="eastAsia" w:ascii="宋体" w:hAnsi="宋体" w:cs="宋体"/>
                <w:color w:val="auto"/>
                <w:sz w:val="24"/>
                <w:szCs w:val="24"/>
                <w:highlight w:val="none"/>
                <w:lang w:val="en-US" w:eastAsia="zh-CN"/>
              </w:rPr>
              <w:t>。</w:t>
            </w:r>
          </w:p>
        </w:tc>
      </w:tr>
      <w:tr w14:paraId="7320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2CB36E59">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3.3.1</w:t>
            </w:r>
          </w:p>
        </w:tc>
        <w:tc>
          <w:tcPr>
            <w:tcW w:w="1692" w:type="dxa"/>
            <w:noWrap w:val="0"/>
            <w:vAlign w:val="center"/>
          </w:tcPr>
          <w:p w14:paraId="5051AB49">
            <w:pPr>
              <w:keepNext w:val="0"/>
              <w:keepLines w:val="0"/>
              <w:pageBreakBefore w:val="0"/>
              <w:widowControl w:val="0"/>
              <w:kinsoku/>
              <w:wordWrap w:val="0"/>
              <w:overflowPunct/>
              <w:topLinePunct w:val="0"/>
              <w:autoSpaceDE/>
              <w:autoSpaceDN/>
              <w:bidi w:val="0"/>
              <w:adjustRightInd w:val="0"/>
              <w:snapToGrid/>
              <w:spacing w:line="240" w:lineRule="auto"/>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投标有效期</w:t>
            </w:r>
          </w:p>
        </w:tc>
        <w:tc>
          <w:tcPr>
            <w:tcW w:w="7050" w:type="dxa"/>
            <w:noWrap w:val="0"/>
            <w:vAlign w:val="center"/>
          </w:tcPr>
          <w:p w14:paraId="29A3EA05">
            <w:pPr>
              <w:keepNext w:val="0"/>
              <w:keepLines w:val="0"/>
              <w:pageBreakBefore w:val="0"/>
              <w:widowControl w:val="0"/>
              <w:kinsoku/>
              <w:wordWrap w:val="0"/>
              <w:overflowPunct/>
              <w:topLinePunct w:val="0"/>
              <w:autoSpaceDE/>
              <w:autoSpaceDN/>
              <w:bidi w:val="0"/>
              <w:adjustRightInd w:val="0"/>
              <w:snapToGrid/>
              <w:spacing w:line="240" w:lineRule="auto"/>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投标截止之日后90天（日历天），从开标截止之日算起。</w:t>
            </w:r>
          </w:p>
        </w:tc>
      </w:tr>
      <w:tr w14:paraId="7FE19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22" w:type="dxa"/>
            <w:noWrap w:val="0"/>
            <w:vAlign w:val="center"/>
          </w:tcPr>
          <w:p w14:paraId="57D9DF08">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3.4.1</w:t>
            </w:r>
          </w:p>
        </w:tc>
        <w:tc>
          <w:tcPr>
            <w:tcW w:w="1692" w:type="dxa"/>
            <w:noWrap w:val="0"/>
            <w:vAlign w:val="center"/>
          </w:tcPr>
          <w:p w14:paraId="4B82BF89">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投标保证金</w:t>
            </w:r>
          </w:p>
        </w:tc>
        <w:tc>
          <w:tcPr>
            <w:tcW w:w="7050" w:type="dxa"/>
            <w:noWrap w:val="0"/>
            <w:vAlign w:val="center"/>
          </w:tcPr>
          <w:p w14:paraId="3E1E5690">
            <w:pPr>
              <w:pageBreakBefore w:val="0"/>
              <w:kinsoku/>
              <w:overflowPunct/>
              <w:topLinePunct w:val="0"/>
              <w:bidi w:val="0"/>
              <w:spacing w:line="288" w:lineRule="auto"/>
              <w:textAlignment w:val="auto"/>
              <w:rPr>
                <w:rFonts w:hint="eastAsia" w:ascii="宋体" w:hAnsi="宋体" w:eastAsia="宋体" w:cs="宋体"/>
                <w:bCs/>
                <w:color w:val="auto"/>
                <w:sz w:val="24"/>
                <w:szCs w:val="24"/>
                <w:highlight w:val="yellow"/>
              </w:rPr>
            </w:pPr>
            <w:r>
              <w:rPr>
                <w:rFonts w:hint="eastAsia" w:ascii="宋体" w:hAnsi="宋体" w:cs="宋体"/>
                <w:color w:val="auto"/>
                <w:sz w:val="24"/>
                <w:szCs w:val="24"/>
                <w:highlight w:val="none"/>
                <w:lang w:val="en-US" w:eastAsia="zh-CN"/>
              </w:rPr>
              <w:t>无</w:t>
            </w:r>
          </w:p>
        </w:tc>
      </w:tr>
      <w:tr w14:paraId="1BA3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222" w:type="dxa"/>
            <w:noWrap w:val="0"/>
            <w:vAlign w:val="center"/>
          </w:tcPr>
          <w:p w14:paraId="28990ED2">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3.4.4</w:t>
            </w:r>
          </w:p>
        </w:tc>
        <w:tc>
          <w:tcPr>
            <w:tcW w:w="1692" w:type="dxa"/>
            <w:noWrap w:val="0"/>
            <w:vAlign w:val="center"/>
          </w:tcPr>
          <w:p w14:paraId="6CC30C83">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其他可以不予退还投标保证金的情形</w:t>
            </w:r>
          </w:p>
        </w:tc>
        <w:tc>
          <w:tcPr>
            <w:tcW w:w="7050" w:type="dxa"/>
            <w:noWrap w:val="0"/>
            <w:vAlign w:val="center"/>
          </w:tcPr>
          <w:p w14:paraId="67BC0560">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在投标过程中借用他人资质，互相串通、结盟，伪造虚假业绩、人员、财务、履约情况等，或违反国家有关规定，损害招标的公正性和竞争性进行投标者。</w:t>
            </w:r>
          </w:p>
        </w:tc>
      </w:tr>
      <w:tr w14:paraId="636E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729CEE60">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3.5.2</w:t>
            </w:r>
          </w:p>
        </w:tc>
        <w:tc>
          <w:tcPr>
            <w:tcW w:w="1692" w:type="dxa"/>
            <w:noWrap w:val="0"/>
            <w:vAlign w:val="center"/>
          </w:tcPr>
          <w:p w14:paraId="650CFF25">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近年财务状况的年份要求</w:t>
            </w:r>
          </w:p>
        </w:tc>
        <w:tc>
          <w:tcPr>
            <w:tcW w:w="7050" w:type="dxa"/>
            <w:noWrap w:val="0"/>
            <w:vAlign w:val="center"/>
          </w:tcPr>
          <w:p w14:paraId="47243AE1">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近3年，指2022年1月1日起至今。</w:t>
            </w:r>
          </w:p>
        </w:tc>
      </w:tr>
      <w:tr w14:paraId="77BA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238D2364">
            <w:pPr>
              <w:keepNext w:val="0"/>
              <w:keepLines w:val="0"/>
              <w:pageBreakBefore w:val="0"/>
              <w:widowControl w:val="0"/>
              <w:kinsoku/>
              <w:wordWrap w:val="0"/>
              <w:overflowPunct/>
              <w:topLinePunct w:val="0"/>
              <w:autoSpaceDE/>
              <w:autoSpaceDN/>
              <w:bidi w:val="0"/>
              <w:adjustRightInd w:val="0"/>
              <w:snapToGrid w:val="0"/>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3.5.3</w:t>
            </w:r>
          </w:p>
        </w:tc>
        <w:tc>
          <w:tcPr>
            <w:tcW w:w="1692" w:type="dxa"/>
            <w:noWrap w:val="0"/>
            <w:vAlign w:val="center"/>
          </w:tcPr>
          <w:p w14:paraId="4D1EB7DA">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近年发生的诉讼及仲裁情况的年份要求</w:t>
            </w:r>
          </w:p>
        </w:tc>
        <w:tc>
          <w:tcPr>
            <w:tcW w:w="7050" w:type="dxa"/>
            <w:noWrap w:val="0"/>
            <w:vAlign w:val="center"/>
          </w:tcPr>
          <w:p w14:paraId="4BBCB8D6">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20</w:t>
            </w:r>
            <w:r>
              <w:rPr>
                <w:rFonts w:hint="eastAsia" w:ascii="宋体" w:hAnsi="宋体" w:eastAsia="宋体" w:cs="宋体"/>
                <w:bCs/>
                <w:color w:val="auto"/>
                <w:sz w:val="24"/>
                <w:szCs w:val="24"/>
                <w:highlight w:val="none"/>
                <w:lang w:val="en-US" w:eastAsia="zh-CN"/>
              </w:rPr>
              <w:t>22</w:t>
            </w:r>
            <w:r>
              <w:rPr>
                <w:rFonts w:hint="eastAsia" w:ascii="宋体" w:hAnsi="宋体" w:eastAsia="宋体" w:cs="宋体"/>
                <w:bCs/>
                <w:color w:val="auto"/>
                <w:sz w:val="24"/>
                <w:szCs w:val="24"/>
                <w:highlight w:val="none"/>
              </w:rPr>
              <w:t>年1月1日至招标公告发布之日止。</w:t>
            </w:r>
          </w:p>
        </w:tc>
      </w:tr>
      <w:tr w14:paraId="197A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14AC4054">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3.6.1</w:t>
            </w:r>
          </w:p>
        </w:tc>
        <w:tc>
          <w:tcPr>
            <w:tcW w:w="1692" w:type="dxa"/>
            <w:noWrap w:val="0"/>
            <w:vAlign w:val="center"/>
          </w:tcPr>
          <w:p w14:paraId="7E6621FB">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是否允许递交备选投标方案</w:t>
            </w:r>
          </w:p>
        </w:tc>
        <w:tc>
          <w:tcPr>
            <w:tcW w:w="7050" w:type="dxa"/>
            <w:noWrap w:val="0"/>
            <w:vAlign w:val="center"/>
          </w:tcPr>
          <w:p w14:paraId="0808017E">
            <w:pPr>
              <w:keepNext w:val="0"/>
              <w:keepLines w:val="0"/>
              <w:pageBreakBefore w:val="0"/>
              <w:widowControl w:val="0"/>
              <w:kinsoku/>
              <w:wordWrap w:val="0"/>
              <w:overflowPunct/>
              <w:topLinePunct w:val="0"/>
              <w:autoSpaceDE/>
              <w:autoSpaceDN/>
              <w:bidi w:val="0"/>
              <w:adjustRightInd w:val="0"/>
              <w:spacing w:line="400" w:lineRule="exac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fldChar w:fldCharType="begin"/>
            </w:r>
            <w:r>
              <w:rPr>
                <w:rFonts w:hint="eastAsia" w:ascii="宋体" w:hAnsi="宋体" w:eastAsia="宋体" w:cs="宋体"/>
                <w:bCs/>
                <w:color w:val="auto"/>
                <w:sz w:val="24"/>
                <w:highlight w:val="none"/>
                <w:lang w:val="zh-CN"/>
              </w:rPr>
              <w:instrText xml:space="preserve">eq \o\ac(□,√)</w:instrText>
            </w:r>
            <w:r>
              <w:rPr>
                <w:rFonts w:hint="eastAsia" w:ascii="宋体" w:hAnsi="宋体" w:eastAsia="宋体" w:cs="宋体"/>
                <w:bCs/>
                <w:color w:val="auto"/>
                <w:sz w:val="24"/>
                <w:highlight w:val="none"/>
                <w:lang w:val="zh-CN"/>
              </w:rPr>
              <w:fldChar w:fldCharType="end"/>
            </w:r>
            <w:r>
              <w:rPr>
                <w:rFonts w:hint="eastAsia" w:ascii="宋体" w:hAnsi="宋体" w:eastAsia="宋体" w:cs="宋体"/>
                <w:bCs/>
                <w:color w:val="auto"/>
                <w:sz w:val="24"/>
                <w:highlight w:val="none"/>
                <w:lang w:val="zh-CN"/>
              </w:rPr>
              <w:t>不允许</w:t>
            </w:r>
          </w:p>
          <w:p w14:paraId="7AECCFF3">
            <w:pPr>
              <w:keepNext w:val="0"/>
              <w:keepLines w:val="0"/>
              <w:pageBreakBefore w:val="0"/>
              <w:widowControl w:val="0"/>
              <w:kinsoku/>
              <w:wordWrap w:val="0"/>
              <w:overflowPunct/>
              <w:topLinePunct w:val="0"/>
              <w:autoSpaceDE/>
              <w:autoSpaceDN/>
              <w:bidi w:val="0"/>
              <w:adjustRightInd w:val="0"/>
              <w:spacing w:line="44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zh-CN"/>
              </w:rPr>
              <w:t>允许</w:t>
            </w:r>
          </w:p>
        </w:tc>
      </w:tr>
      <w:tr w14:paraId="6D26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2C6450D6">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3.7.</w:t>
            </w:r>
            <w:r>
              <w:rPr>
                <w:rFonts w:hint="eastAsia" w:ascii="宋体" w:hAnsi="宋体" w:eastAsia="宋体" w:cs="宋体"/>
                <w:bCs/>
                <w:color w:val="auto"/>
                <w:sz w:val="24"/>
                <w:szCs w:val="24"/>
                <w:highlight w:val="none"/>
              </w:rPr>
              <w:t>4</w:t>
            </w:r>
          </w:p>
        </w:tc>
        <w:tc>
          <w:tcPr>
            <w:tcW w:w="1692" w:type="dxa"/>
            <w:noWrap w:val="0"/>
            <w:vAlign w:val="center"/>
          </w:tcPr>
          <w:p w14:paraId="7EF168C4">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投标文件上传</w:t>
            </w:r>
          </w:p>
        </w:tc>
        <w:tc>
          <w:tcPr>
            <w:tcW w:w="7050" w:type="dxa"/>
            <w:noWrap w:val="0"/>
            <w:vAlign w:val="center"/>
          </w:tcPr>
          <w:p w14:paraId="5549A353">
            <w:pPr>
              <w:keepNext w:val="0"/>
              <w:keepLines w:val="0"/>
              <w:pageBreakBefore w:val="0"/>
              <w:widowControl w:val="0"/>
              <w:kinsoku/>
              <w:wordWrap w:val="0"/>
              <w:overflowPunct/>
              <w:topLinePunct w:val="0"/>
              <w:autoSpaceDE/>
              <w:autoSpaceDN/>
              <w:bidi w:val="0"/>
              <w:adjustRightInd w:val="0"/>
              <w:spacing w:line="440" w:lineRule="exact"/>
              <w:textAlignment w:val="auto"/>
              <w:rPr>
                <w:rFonts w:hint="eastAsia" w:ascii="宋体" w:hAnsi="宋体" w:eastAsia="宋体" w:cs="宋体"/>
                <w:bCs/>
                <w:color w:val="auto"/>
                <w:kern w:val="15"/>
                <w:sz w:val="24"/>
                <w:szCs w:val="24"/>
                <w:highlight w:val="none"/>
              </w:rPr>
            </w:pPr>
            <w:r>
              <w:rPr>
                <w:rFonts w:hint="eastAsia" w:ascii="宋体" w:hAnsi="宋体" w:eastAsia="宋体" w:cs="宋体"/>
                <w:bCs/>
                <w:color w:val="auto"/>
                <w:kern w:val="15"/>
                <w:sz w:val="24"/>
                <w:szCs w:val="24"/>
                <w:highlight w:val="none"/>
                <w:lang w:eastAsia="zh-CN"/>
              </w:rPr>
              <w:t>供应商</w:t>
            </w:r>
            <w:r>
              <w:rPr>
                <w:rFonts w:hint="eastAsia" w:ascii="宋体" w:hAnsi="宋体" w:eastAsia="宋体" w:cs="宋体"/>
                <w:bCs/>
                <w:color w:val="auto"/>
                <w:kern w:val="15"/>
                <w:sz w:val="24"/>
                <w:szCs w:val="24"/>
                <w:highlight w:val="none"/>
              </w:rPr>
              <w:t>需在开标前将投标文件制作工具生成的加密文件上传到</w:t>
            </w:r>
            <w:r>
              <w:rPr>
                <w:rFonts w:hint="eastAsia" w:ascii="宋体" w:hAnsi="宋体" w:cs="宋体"/>
                <w:bCs/>
                <w:color w:val="auto"/>
                <w:sz w:val="24"/>
                <w:szCs w:val="24"/>
                <w:highlight w:val="none"/>
              </w:rPr>
              <w:t>政府采购云平台（网址：http://www.zcygov.cn）</w:t>
            </w:r>
            <w:r>
              <w:rPr>
                <w:rFonts w:hint="eastAsia" w:ascii="宋体" w:hAnsi="宋体" w:eastAsia="宋体" w:cs="宋体"/>
                <w:bCs/>
                <w:color w:val="auto"/>
                <w:kern w:val="15"/>
                <w:sz w:val="24"/>
                <w:szCs w:val="24"/>
                <w:highlight w:val="none"/>
              </w:rPr>
              <w:t>。</w:t>
            </w:r>
          </w:p>
        </w:tc>
      </w:tr>
      <w:tr w14:paraId="49451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48F3D158">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4.2.1</w:t>
            </w:r>
          </w:p>
        </w:tc>
        <w:tc>
          <w:tcPr>
            <w:tcW w:w="1692" w:type="dxa"/>
            <w:noWrap w:val="0"/>
            <w:vAlign w:val="center"/>
          </w:tcPr>
          <w:p w14:paraId="7507817D">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供应商上传提交投标文件的截止时间(开标时间）</w:t>
            </w:r>
          </w:p>
        </w:tc>
        <w:tc>
          <w:tcPr>
            <w:tcW w:w="7050" w:type="dxa"/>
            <w:noWrap w:val="0"/>
            <w:vAlign w:val="center"/>
          </w:tcPr>
          <w:p w14:paraId="6BD76E65">
            <w:pPr>
              <w:keepNext w:val="0"/>
              <w:keepLines w:val="0"/>
              <w:pageBreakBefore w:val="0"/>
              <w:widowControl w:val="0"/>
              <w:kinsoku/>
              <w:wordWrap w:val="0"/>
              <w:overflowPunct/>
              <w:topLinePunct w:val="0"/>
              <w:autoSpaceDE/>
              <w:autoSpaceDN/>
              <w:bidi w:val="0"/>
              <w:adjustRightInd w:val="0"/>
              <w:spacing w:line="440" w:lineRule="exact"/>
              <w:textAlignment w:val="auto"/>
              <w:rPr>
                <w:rFonts w:hint="eastAsia" w:ascii="宋体" w:hAnsi="宋体" w:eastAsia="宋体" w:cs="宋体"/>
                <w:bCs/>
                <w:color w:val="auto"/>
                <w:sz w:val="24"/>
                <w:szCs w:val="24"/>
                <w:highlight w:val="none"/>
              </w:rPr>
            </w:pPr>
            <w:r>
              <w:rPr>
                <w:rFonts w:hint="eastAsia" w:ascii="宋体" w:hAnsi="宋体" w:cs="宋体"/>
                <w:color w:val="auto"/>
                <w:kern w:val="0"/>
                <w:sz w:val="24"/>
                <w:szCs w:val="24"/>
                <w:highlight w:val="none"/>
                <w:lang w:eastAsia="zh-CN" w:bidi="ar"/>
              </w:rPr>
              <w:t>2025年</w:t>
            </w:r>
            <w:r>
              <w:rPr>
                <w:rFonts w:hint="eastAsia" w:ascii="宋体" w:hAnsi="宋体" w:cs="宋体"/>
                <w:color w:val="auto"/>
                <w:kern w:val="0"/>
                <w:sz w:val="24"/>
                <w:szCs w:val="24"/>
                <w:highlight w:val="none"/>
                <w:lang w:val="en-US" w:eastAsia="zh-CN" w:bidi="ar"/>
              </w:rPr>
              <w:t>7</w:t>
            </w:r>
            <w:r>
              <w:rPr>
                <w:rFonts w:hint="eastAsia" w:ascii="宋体" w:hAnsi="宋体" w:cs="宋体"/>
                <w:color w:val="auto"/>
                <w:kern w:val="0"/>
                <w:sz w:val="24"/>
                <w:szCs w:val="24"/>
                <w:highlight w:val="none"/>
                <w:lang w:eastAsia="zh-CN" w:bidi="ar"/>
              </w:rPr>
              <w:t>月</w:t>
            </w:r>
            <w:r>
              <w:rPr>
                <w:rFonts w:hint="eastAsia" w:ascii="宋体" w:hAnsi="宋体" w:cs="宋体"/>
                <w:color w:val="auto"/>
                <w:kern w:val="0"/>
                <w:sz w:val="24"/>
                <w:szCs w:val="24"/>
                <w:highlight w:val="none"/>
                <w:lang w:val="en-US" w:eastAsia="zh-CN" w:bidi="ar"/>
              </w:rPr>
              <w:t>28</w:t>
            </w:r>
            <w:r>
              <w:rPr>
                <w:rFonts w:hint="eastAsia" w:ascii="宋体" w:hAnsi="宋体" w:cs="宋体"/>
                <w:color w:val="auto"/>
                <w:kern w:val="0"/>
                <w:sz w:val="24"/>
                <w:szCs w:val="24"/>
                <w:highlight w:val="none"/>
                <w:lang w:eastAsia="zh-CN" w:bidi="ar"/>
              </w:rPr>
              <w:t>日</w:t>
            </w:r>
            <w:r>
              <w:rPr>
                <w:rFonts w:hint="eastAsia" w:ascii="宋体" w:hAnsi="宋体" w:cs="宋体"/>
                <w:color w:val="auto"/>
                <w:kern w:val="0"/>
                <w:sz w:val="24"/>
                <w:szCs w:val="24"/>
                <w:highlight w:val="none"/>
                <w:lang w:val="en-US" w:eastAsia="zh-CN" w:bidi="ar"/>
              </w:rPr>
              <w:t>09</w:t>
            </w:r>
            <w:r>
              <w:rPr>
                <w:rFonts w:hint="eastAsia" w:ascii="宋体" w:hAnsi="宋体" w:cs="宋体"/>
                <w:color w:val="auto"/>
                <w:kern w:val="0"/>
                <w:sz w:val="24"/>
                <w:szCs w:val="24"/>
                <w:highlight w:val="none"/>
                <w:lang w:eastAsia="zh-CN" w:bidi="ar"/>
              </w:rPr>
              <w:t>时</w:t>
            </w:r>
            <w:r>
              <w:rPr>
                <w:rFonts w:hint="eastAsia" w:ascii="宋体" w:hAnsi="宋体" w:cs="宋体"/>
                <w:color w:val="auto"/>
                <w:kern w:val="0"/>
                <w:sz w:val="24"/>
                <w:szCs w:val="24"/>
                <w:highlight w:val="none"/>
                <w:lang w:val="en-US" w:eastAsia="zh-CN" w:bidi="ar"/>
              </w:rPr>
              <w:t>00</w:t>
            </w:r>
            <w:r>
              <w:rPr>
                <w:rFonts w:hint="eastAsia" w:ascii="宋体" w:hAnsi="宋体" w:cs="宋体"/>
                <w:color w:val="auto"/>
                <w:kern w:val="0"/>
                <w:sz w:val="24"/>
                <w:szCs w:val="24"/>
                <w:highlight w:val="none"/>
                <w:lang w:eastAsia="zh-CN" w:bidi="ar"/>
              </w:rPr>
              <w:t>分</w:t>
            </w:r>
            <w:r>
              <w:rPr>
                <w:rFonts w:hint="eastAsia" w:ascii="宋体" w:hAnsi="宋体" w:cs="宋体"/>
                <w:bCs/>
                <w:color w:val="auto"/>
                <w:sz w:val="24"/>
                <w:szCs w:val="24"/>
                <w:highlight w:val="none"/>
                <w:lang w:eastAsia="zh-CN"/>
              </w:rPr>
              <w:t>（北京时间）</w:t>
            </w:r>
          </w:p>
        </w:tc>
      </w:tr>
      <w:tr w14:paraId="5913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547DDAE4">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4.</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zh-CN"/>
              </w:rPr>
              <w:t>.2</w:t>
            </w:r>
          </w:p>
        </w:tc>
        <w:tc>
          <w:tcPr>
            <w:tcW w:w="1692" w:type="dxa"/>
            <w:noWrap w:val="0"/>
            <w:vAlign w:val="center"/>
          </w:tcPr>
          <w:p w14:paraId="6DE6ACE2">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供应商上传提交投标文件的平台</w:t>
            </w:r>
          </w:p>
        </w:tc>
        <w:tc>
          <w:tcPr>
            <w:tcW w:w="7050" w:type="dxa"/>
            <w:noWrap w:val="0"/>
            <w:vAlign w:val="top"/>
          </w:tcPr>
          <w:p w14:paraId="2E4CD89C">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本项目执行电子化招投标，供应商须通过政府采购云平台（网址：</w:t>
            </w:r>
            <w:r>
              <w:rPr>
                <w:rFonts w:hint="eastAsia" w:ascii="宋体" w:hAnsi="宋体" w:eastAsia="宋体" w:cs="宋体"/>
                <w:color w:val="auto"/>
                <w:sz w:val="24"/>
                <w:szCs w:val="24"/>
                <w:highlight w:val="none"/>
                <w:lang w:eastAsia="zh-CN"/>
              </w:rPr>
              <w:t>“政采云”平台(</w:t>
            </w:r>
            <w:r>
              <w:rPr>
                <w:rFonts w:hint="eastAsia" w:ascii="宋体" w:hAnsi="宋体" w:cs="宋体"/>
                <w:color w:val="auto"/>
                <w:sz w:val="24"/>
                <w:szCs w:val="24"/>
                <w:highlight w:val="none"/>
                <w:lang w:eastAsia="zh-CN"/>
              </w:rPr>
              <w:t>https://www.zcygov.cn</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lang w:val="zh-CN"/>
              </w:rPr>
              <w:t>递交电子版</w:t>
            </w: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lang w:val="zh-CN"/>
              </w:rPr>
              <w:t>文件</w:t>
            </w:r>
            <w:r>
              <w:rPr>
                <w:rFonts w:hint="eastAsia" w:ascii="宋体" w:hAnsi="宋体" w:eastAsia="宋体" w:cs="宋体"/>
                <w:bCs/>
                <w:color w:val="auto"/>
                <w:sz w:val="24"/>
                <w:szCs w:val="24"/>
                <w:highlight w:val="none"/>
                <w:lang w:val="zh-CN" w:eastAsia="zh-CN"/>
              </w:rPr>
              <w:t>。</w:t>
            </w:r>
          </w:p>
        </w:tc>
      </w:tr>
      <w:tr w14:paraId="2423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4FE996D6">
            <w:pPr>
              <w:keepNext w:val="0"/>
              <w:keepLines w:val="0"/>
              <w:pageBreakBefore w:val="0"/>
              <w:widowControl w:val="0"/>
              <w:kinsoku/>
              <w:wordWrap w:val="0"/>
              <w:overflowPunct/>
              <w:topLinePunct w:val="0"/>
              <w:autoSpaceDE/>
              <w:autoSpaceDN/>
              <w:bidi w:val="0"/>
              <w:adjustRightInd w:val="0"/>
              <w:spacing w:line="36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highlight w:val="none"/>
                <w:lang w:val="zh-CN"/>
              </w:rPr>
              <w:t>4.2.3</w:t>
            </w:r>
          </w:p>
        </w:tc>
        <w:tc>
          <w:tcPr>
            <w:tcW w:w="1692" w:type="dxa"/>
            <w:noWrap w:val="0"/>
            <w:vAlign w:val="center"/>
          </w:tcPr>
          <w:p w14:paraId="3C63482F">
            <w:pPr>
              <w:keepNext w:val="0"/>
              <w:keepLines w:val="0"/>
              <w:pageBreakBefore w:val="0"/>
              <w:widowControl w:val="0"/>
              <w:kinsoku/>
              <w:wordWrap w:val="0"/>
              <w:overflowPunct/>
              <w:topLinePunct w:val="0"/>
              <w:autoSpaceDE/>
              <w:autoSpaceDN/>
              <w:bidi w:val="0"/>
              <w:adjustRightInd w:val="0"/>
              <w:spacing w:line="36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highlight w:val="none"/>
              </w:rPr>
              <w:t>投标文件是否退还</w:t>
            </w:r>
          </w:p>
        </w:tc>
        <w:tc>
          <w:tcPr>
            <w:tcW w:w="7050" w:type="dxa"/>
            <w:noWrap w:val="0"/>
            <w:vAlign w:val="center"/>
          </w:tcPr>
          <w:p w14:paraId="1DE87804">
            <w:pPr>
              <w:keepNext w:val="0"/>
              <w:keepLines w:val="0"/>
              <w:pageBreakBefore w:val="0"/>
              <w:widowControl w:val="0"/>
              <w:kinsoku/>
              <w:wordWrap w:val="0"/>
              <w:overflowPunct/>
              <w:topLinePunct w:val="0"/>
              <w:autoSpaceDE/>
              <w:autoSpaceDN/>
              <w:bidi w:val="0"/>
              <w:adjustRightInd w:val="0"/>
              <w:spacing w:line="360" w:lineRule="exact"/>
              <w:textAlignment w:val="auto"/>
              <w:rPr>
                <w:rFonts w:hint="eastAsia" w:ascii="宋体" w:hAnsi="宋体" w:eastAsia="宋体" w:cs="宋体"/>
                <w:bCs/>
                <w:color w:val="auto"/>
                <w:kern w:val="0"/>
                <w:sz w:val="24"/>
                <w:highlight w:val="none"/>
                <w:lang w:val="zh-CN"/>
              </w:rPr>
            </w:pPr>
            <w:r>
              <w:rPr>
                <w:rFonts w:hint="eastAsia" w:ascii="宋体" w:hAnsi="宋体" w:eastAsia="宋体" w:cs="宋体"/>
                <w:bCs/>
                <w:color w:val="auto"/>
                <w:sz w:val="24"/>
                <w:highlight w:val="none"/>
              </w:rPr>
              <w:t>□</w:t>
            </w:r>
            <w:r>
              <w:rPr>
                <w:rFonts w:hint="eastAsia" w:ascii="宋体" w:hAnsi="宋体" w:eastAsia="宋体" w:cs="宋体"/>
                <w:bCs/>
                <w:color w:val="auto"/>
                <w:kern w:val="0"/>
                <w:sz w:val="24"/>
                <w:highlight w:val="none"/>
                <w:lang w:val="zh-CN"/>
              </w:rPr>
              <w:t>是</w:t>
            </w:r>
          </w:p>
          <w:p w14:paraId="677A27E4">
            <w:pPr>
              <w:keepNext w:val="0"/>
              <w:keepLines w:val="0"/>
              <w:pageBreakBefore w:val="0"/>
              <w:widowControl w:val="0"/>
              <w:kinsoku/>
              <w:wordWrap w:val="0"/>
              <w:overflowPunct/>
              <w:topLinePunct w:val="0"/>
              <w:autoSpaceDE/>
              <w:autoSpaceDN/>
              <w:bidi w:val="0"/>
              <w:adjustRightInd w:val="0"/>
              <w:spacing w:line="36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highlight w:val="none"/>
                <w:lang w:val="zh-CN"/>
              </w:rPr>
              <w:fldChar w:fldCharType="begin"/>
            </w:r>
            <w:r>
              <w:rPr>
                <w:rFonts w:hint="eastAsia" w:ascii="宋体" w:hAnsi="宋体" w:eastAsia="宋体" w:cs="宋体"/>
                <w:bCs/>
                <w:color w:val="auto"/>
                <w:kern w:val="0"/>
                <w:sz w:val="24"/>
                <w:highlight w:val="none"/>
                <w:lang w:val="zh-CN"/>
              </w:rPr>
              <w:instrText xml:space="preserve">eq \o\ac(□,√)</w:instrText>
            </w:r>
            <w:r>
              <w:rPr>
                <w:rFonts w:hint="eastAsia" w:ascii="宋体" w:hAnsi="宋体" w:eastAsia="宋体" w:cs="宋体"/>
                <w:bCs/>
                <w:color w:val="auto"/>
                <w:kern w:val="0"/>
                <w:sz w:val="24"/>
                <w:highlight w:val="none"/>
                <w:lang w:val="zh-CN"/>
              </w:rPr>
              <w:fldChar w:fldCharType="end"/>
            </w:r>
            <w:r>
              <w:rPr>
                <w:rFonts w:hint="eastAsia" w:ascii="宋体" w:hAnsi="宋体" w:eastAsia="宋体" w:cs="宋体"/>
                <w:bCs/>
                <w:color w:val="auto"/>
                <w:kern w:val="0"/>
                <w:sz w:val="24"/>
                <w:highlight w:val="none"/>
                <w:lang w:val="zh-CN"/>
              </w:rPr>
              <w:t>否</w:t>
            </w:r>
            <w:r>
              <w:rPr>
                <w:rFonts w:hint="eastAsia" w:ascii="宋体" w:hAnsi="宋体" w:eastAsia="宋体" w:cs="宋体"/>
                <w:bCs/>
                <w:color w:val="auto"/>
                <w:sz w:val="24"/>
                <w:highlight w:val="none"/>
                <w:lang w:val="zh-CN"/>
              </w:rPr>
              <w:t>，已递交的投标文件不予返还，请供应商自行做好备份工作。</w:t>
            </w:r>
          </w:p>
        </w:tc>
      </w:tr>
      <w:tr w14:paraId="62F9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18975B29">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6.1.1</w:t>
            </w:r>
          </w:p>
        </w:tc>
        <w:tc>
          <w:tcPr>
            <w:tcW w:w="1692" w:type="dxa"/>
            <w:noWrap w:val="0"/>
            <w:vAlign w:val="center"/>
          </w:tcPr>
          <w:p w14:paraId="1D7489C3">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评标委员会的组建</w:t>
            </w:r>
          </w:p>
        </w:tc>
        <w:tc>
          <w:tcPr>
            <w:tcW w:w="7050" w:type="dxa"/>
            <w:noWrap w:val="0"/>
            <w:vAlign w:val="top"/>
          </w:tcPr>
          <w:p w14:paraId="5E04F6FC">
            <w:pPr>
              <w:keepNext w:val="0"/>
              <w:keepLines w:val="0"/>
              <w:pageBreakBefore w:val="0"/>
              <w:widowControl w:val="0"/>
              <w:tabs>
                <w:tab w:val="center" w:pos="3086"/>
              </w:tabs>
              <w:kinsoku/>
              <w:wordWrap w:val="0"/>
              <w:overflowPunct/>
              <w:topLinePunct w:val="0"/>
              <w:autoSpaceDE/>
              <w:autoSpaceDN/>
              <w:bidi w:val="0"/>
              <w:adjustRightInd w:val="0"/>
              <w:spacing w:line="44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评标委员会构成：5人</w:t>
            </w:r>
          </w:p>
          <w:p w14:paraId="4960BCF9">
            <w:pPr>
              <w:keepNext w:val="0"/>
              <w:keepLines w:val="0"/>
              <w:pageBreakBefore w:val="0"/>
              <w:widowControl w:val="0"/>
              <w:tabs>
                <w:tab w:val="center" w:pos="3086"/>
              </w:tabs>
              <w:kinsoku/>
              <w:wordWrap w:val="0"/>
              <w:overflowPunct/>
              <w:topLinePunct w:val="0"/>
              <w:autoSpaceDE/>
              <w:autoSpaceDN/>
              <w:bidi w:val="0"/>
              <w:adjustRightInd w:val="0"/>
              <w:spacing w:line="44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其中采购人代表</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zh-CN"/>
              </w:rPr>
              <w:t>人，</w:t>
            </w:r>
            <w:r>
              <w:rPr>
                <w:rFonts w:hint="eastAsia" w:ascii="宋体" w:hAnsi="宋体" w:eastAsia="宋体" w:cs="宋体"/>
                <w:bCs/>
                <w:color w:val="auto"/>
                <w:sz w:val="24"/>
                <w:szCs w:val="24"/>
                <w:highlight w:val="none"/>
                <w:lang w:val="en-US" w:eastAsia="zh-CN"/>
              </w:rPr>
              <w:t>社会</w:t>
            </w:r>
            <w:r>
              <w:rPr>
                <w:rFonts w:hint="eastAsia" w:ascii="宋体" w:hAnsi="宋体" w:eastAsia="宋体" w:cs="宋体"/>
                <w:bCs/>
                <w:color w:val="auto"/>
                <w:sz w:val="24"/>
                <w:szCs w:val="24"/>
                <w:highlight w:val="none"/>
                <w:lang w:val="zh-CN"/>
              </w:rPr>
              <w:t>专家</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zh-CN"/>
              </w:rPr>
              <w:t>人。</w:t>
            </w:r>
          </w:p>
          <w:p w14:paraId="243768FA">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评标专家确定方式</w:t>
            </w:r>
            <w:r>
              <w:rPr>
                <w:rFonts w:hint="eastAsia" w:ascii="宋体" w:hAnsi="宋体" w:cs="宋体"/>
                <w:bCs/>
                <w:color w:val="auto"/>
                <w:sz w:val="24"/>
                <w:szCs w:val="24"/>
                <w:highlight w:val="none"/>
                <w:lang w:val="zh-CN"/>
              </w:rPr>
              <w:t>：</w:t>
            </w:r>
            <w:r>
              <w:rPr>
                <w:rFonts w:hint="eastAsia"/>
                <w:color w:val="auto"/>
                <w:highlight w:val="none"/>
              </w:rPr>
              <w:t>外聘专家从依法设立的政府采购专家库中随机抽取。</w:t>
            </w:r>
          </w:p>
        </w:tc>
      </w:tr>
      <w:tr w14:paraId="474CF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676E9F63">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6.3.2</w:t>
            </w:r>
          </w:p>
        </w:tc>
        <w:tc>
          <w:tcPr>
            <w:tcW w:w="1692" w:type="dxa"/>
            <w:noWrap w:val="0"/>
            <w:vAlign w:val="center"/>
          </w:tcPr>
          <w:p w14:paraId="1EA71FE2">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评标委员会推荐中标候选人的人数</w:t>
            </w:r>
          </w:p>
        </w:tc>
        <w:tc>
          <w:tcPr>
            <w:tcW w:w="7050" w:type="dxa"/>
            <w:noWrap w:val="0"/>
            <w:vAlign w:val="center"/>
          </w:tcPr>
          <w:p w14:paraId="47D91CE2">
            <w:pPr>
              <w:keepNext w:val="0"/>
              <w:keepLines w:val="0"/>
              <w:pageBreakBefore w:val="0"/>
              <w:widowControl w:val="0"/>
              <w:kinsoku/>
              <w:wordWrap w:val="0"/>
              <w:overflowPunct/>
              <w:topLinePunct w:val="0"/>
              <w:autoSpaceDE/>
              <w:autoSpaceDN/>
              <w:bidi w:val="0"/>
              <w:adjustRightInd w:val="0"/>
              <w:spacing w:line="44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推荐的中标候选人数：3人。评标委员会推荐初步评审合格，综合评审得分由高到低排名第一、第二、第三的供应商为中标候选人。</w:t>
            </w:r>
          </w:p>
        </w:tc>
      </w:tr>
      <w:tr w14:paraId="668D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1368D4BA">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sz w:val="24"/>
                <w:szCs w:val="24"/>
                <w:highlight w:val="none"/>
                <w:lang w:val="zh-CN"/>
              </w:rPr>
              <w:t>7.1</w:t>
            </w:r>
          </w:p>
        </w:tc>
        <w:tc>
          <w:tcPr>
            <w:tcW w:w="1692" w:type="dxa"/>
            <w:noWrap w:val="0"/>
            <w:vAlign w:val="center"/>
          </w:tcPr>
          <w:p w14:paraId="22F9D8C0">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中标</w:t>
            </w:r>
            <w:r>
              <w:rPr>
                <w:rFonts w:hint="eastAsia" w:ascii="宋体" w:hAnsi="宋体" w:eastAsia="宋体" w:cs="宋体"/>
                <w:bCs/>
                <w:color w:val="auto"/>
                <w:sz w:val="24"/>
                <w:szCs w:val="24"/>
                <w:highlight w:val="none"/>
                <w:lang w:eastAsia="zh-CN"/>
              </w:rPr>
              <w:t>结果公告</w:t>
            </w:r>
            <w:r>
              <w:rPr>
                <w:rFonts w:hint="eastAsia" w:ascii="宋体" w:hAnsi="宋体" w:eastAsia="宋体" w:cs="宋体"/>
                <w:bCs/>
                <w:color w:val="auto"/>
                <w:sz w:val="24"/>
                <w:szCs w:val="24"/>
                <w:highlight w:val="none"/>
              </w:rPr>
              <w:t>媒介及期限</w:t>
            </w:r>
          </w:p>
        </w:tc>
        <w:tc>
          <w:tcPr>
            <w:tcW w:w="7050" w:type="dxa"/>
            <w:noWrap w:val="0"/>
            <w:vAlign w:val="center"/>
          </w:tcPr>
          <w:p w14:paraId="3CC9FA0C">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公</w:t>
            </w:r>
            <w:r>
              <w:rPr>
                <w:rFonts w:hint="eastAsia" w:ascii="宋体" w:hAnsi="宋体" w:eastAsia="宋体" w:cs="宋体"/>
                <w:bCs/>
                <w:color w:val="auto"/>
                <w:sz w:val="24"/>
                <w:szCs w:val="24"/>
                <w:highlight w:val="none"/>
                <w:lang w:eastAsia="zh-CN"/>
              </w:rPr>
              <w:t>告</w:t>
            </w:r>
            <w:r>
              <w:rPr>
                <w:rFonts w:hint="eastAsia" w:ascii="宋体" w:hAnsi="宋体" w:eastAsia="宋体" w:cs="宋体"/>
                <w:bCs/>
                <w:color w:val="auto"/>
                <w:sz w:val="24"/>
                <w:szCs w:val="24"/>
                <w:highlight w:val="none"/>
              </w:rPr>
              <w:t>媒</w:t>
            </w:r>
            <w:r>
              <w:rPr>
                <w:rFonts w:hint="eastAsia" w:ascii="宋体" w:hAnsi="宋体" w:eastAsia="宋体" w:cs="宋体"/>
                <w:bCs/>
                <w:color w:val="auto"/>
                <w:sz w:val="24"/>
                <w:szCs w:val="24"/>
                <w:highlight w:val="none"/>
                <w:lang w:eastAsia="zh-CN"/>
              </w:rPr>
              <w:t>介：</w:t>
            </w:r>
            <w:r>
              <w:rPr>
                <w:rFonts w:hint="eastAsia" w:ascii="宋体" w:hAnsi="宋体" w:cs="宋体"/>
                <w:color w:val="auto"/>
                <w:kern w:val="0"/>
                <w:sz w:val="24"/>
                <w:szCs w:val="24"/>
                <w:highlight w:val="none"/>
                <w:lang w:val="en-US" w:eastAsia="zh-CN" w:bidi="ar"/>
              </w:rPr>
              <w:t>“政采云”平台（http:// www.zcygov.cn）网上发布，同步推送到吉林省政府采购网（http://www.ccgp-jilin.gov.cn/）、吉林省公共资源交易服务平台、中国政府采购网</w:t>
            </w:r>
            <w:r>
              <w:rPr>
                <w:rFonts w:hint="eastAsia" w:ascii="宋体" w:hAnsi="宋体" w:eastAsia="宋体" w:cs="宋体"/>
                <w:bCs/>
                <w:color w:val="auto"/>
                <w:sz w:val="24"/>
                <w:szCs w:val="24"/>
                <w:highlight w:val="none"/>
                <w:lang w:eastAsia="zh-CN"/>
              </w:rPr>
              <w:t>；</w:t>
            </w:r>
          </w:p>
          <w:p w14:paraId="75DAE080">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eastAsia="zh-CN"/>
              </w:rPr>
              <w:t>公告期限：1个工作日。</w:t>
            </w:r>
          </w:p>
        </w:tc>
      </w:tr>
      <w:tr w14:paraId="555E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26AF0681">
            <w:pPr>
              <w:keepNext w:val="0"/>
              <w:keepLines w:val="0"/>
              <w:pageBreakBefore w:val="0"/>
              <w:widowControl w:val="0"/>
              <w:kinsoku/>
              <w:wordWrap w:val="0"/>
              <w:overflowPunct/>
              <w:topLinePunct w:val="0"/>
              <w:autoSpaceDE/>
              <w:autoSpaceDN/>
              <w:bidi w:val="0"/>
              <w:adjustRightInd w:val="0"/>
              <w:spacing w:line="400" w:lineRule="exact"/>
              <w:jc w:val="center"/>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7.4</w:t>
            </w:r>
          </w:p>
        </w:tc>
        <w:tc>
          <w:tcPr>
            <w:tcW w:w="1692" w:type="dxa"/>
            <w:noWrap w:val="0"/>
            <w:vAlign w:val="center"/>
          </w:tcPr>
          <w:p w14:paraId="2EF09A66">
            <w:pPr>
              <w:keepNext w:val="0"/>
              <w:keepLines w:val="0"/>
              <w:pageBreakBefore w:val="0"/>
              <w:widowControl w:val="0"/>
              <w:kinsoku/>
              <w:wordWrap w:val="0"/>
              <w:overflowPunct/>
              <w:topLinePunct w:val="0"/>
              <w:autoSpaceDE/>
              <w:autoSpaceDN/>
              <w:bidi w:val="0"/>
              <w:adjustRightInd w:val="0"/>
              <w:spacing w:line="400" w:lineRule="exact"/>
              <w:jc w:val="center"/>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是否授权评标委员会确定中标供应商</w:t>
            </w:r>
          </w:p>
        </w:tc>
        <w:tc>
          <w:tcPr>
            <w:tcW w:w="7050" w:type="dxa"/>
            <w:noWrap w:val="0"/>
            <w:vAlign w:val="center"/>
          </w:tcPr>
          <w:p w14:paraId="07CC7E8B">
            <w:pPr>
              <w:keepNext w:val="0"/>
              <w:keepLines w:val="0"/>
              <w:pageBreakBefore w:val="0"/>
              <w:widowControl w:val="0"/>
              <w:kinsoku/>
              <w:wordWrap w:val="0"/>
              <w:overflowPunct/>
              <w:topLinePunct w:val="0"/>
              <w:autoSpaceDE/>
              <w:autoSpaceDN/>
              <w:bidi w:val="0"/>
              <w:adjustRightInd w:val="0"/>
              <w:spacing w:line="400" w:lineRule="exact"/>
              <w:textAlignment w:val="auto"/>
              <w:rPr>
                <w:rFonts w:hint="eastAsia" w:ascii="宋体" w:hAnsi="宋体" w:eastAsia="宋体" w:cs="宋体"/>
                <w:bCs/>
                <w:color w:val="auto"/>
                <w:sz w:val="24"/>
                <w:highlight w:val="none"/>
              </w:rPr>
            </w:pP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是</w:t>
            </w:r>
            <w:r>
              <w:rPr>
                <w:rFonts w:hint="eastAsia" w:ascii="宋体" w:hAnsi="宋体" w:cs="宋体"/>
                <w:bCs/>
                <w:color w:val="auto"/>
                <w:sz w:val="24"/>
                <w:highlight w:val="none"/>
                <w:lang w:eastAsia="zh-CN"/>
              </w:rPr>
              <w:t>，</w:t>
            </w:r>
            <w:r>
              <w:rPr>
                <w:rFonts w:hint="eastAsia"/>
                <w:kern w:val="2"/>
                <w:sz w:val="21"/>
                <w:szCs w:val="21"/>
                <w:highlight w:val="none"/>
              </w:rPr>
              <w:t>采购人委托评标委员会直接确定推荐顺序第一的中标候选人为中标人</w:t>
            </w:r>
            <w:r>
              <w:rPr>
                <w:rFonts w:hint="eastAsia"/>
                <w:sz w:val="21"/>
                <w:szCs w:val="21"/>
                <w:highlight w:val="none"/>
                <w:lang w:val="zh-CN"/>
              </w:rPr>
              <w:t>。</w:t>
            </w:r>
          </w:p>
          <w:p w14:paraId="47D25591">
            <w:pPr>
              <w:keepNext w:val="0"/>
              <w:keepLines w:val="0"/>
              <w:pageBreakBefore w:val="0"/>
              <w:widowControl w:val="0"/>
              <w:kinsoku/>
              <w:wordWrap w:val="0"/>
              <w:overflowPunct/>
              <w:topLinePunct w:val="0"/>
              <w:autoSpaceDE/>
              <w:autoSpaceDN/>
              <w:bidi w:val="0"/>
              <w:spacing w:line="400" w:lineRule="exact"/>
              <w:textAlignment w:val="auto"/>
              <w:rPr>
                <w:rFonts w:hint="eastAsia" w:ascii="宋体" w:hAnsi="宋体" w:eastAsia="宋体" w:cs="宋体"/>
                <w:bCs/>
                <w:color w:val="auto"/>
                <w:kern w:val="15"/>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eq \o\ac(□)</w:instrTex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否</w:t>
            </w:r>
          </w:p>
        </w:tc>
      </w:tr>
      <w:tr w14:paraId="3A3F1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7A165F4C">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7.7.1</w:t>
            </w:r>
          </w:p>
        </w:tc>
        <w:tc>
          <w:tcPr>
            <w:tcW w:w="1692" w:type="dxa"/>
            <w:noWrap w:val="0"/>
            <w:vAlign w:val="center"/>
          </w:tcPr>
          <w:p w14:paraId="1657A2C8">
            <w:pPr>
              <w:keepNext w:val="0"/>
              <w:keepLines w:val="0"/>
              <w:pageBreakBefore w:val="0"/>
              <w:widowControl w:val="0"/>
              <w:kinsoku/>
              <w:wordWrap w:val="0"/>
              <w:overflowPunct/>
              <w:topLinePunct w:val="0"/>
              <w:autoSpaceDE/>
              <w:autoSpaceDN/>
              <w:bidi w:val="0"/>
              <w:adjustRightInd w:val="0"/>
              <w:spacing w:line="40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highlight w:val="none"/>
                <w:lang w:val="zh-CN"/>
              </w:rPr>
              <w:t>履约保证金</w:t>
            </w:r>
          </w:p>
        </w:tc>
        <w:tc>
          <w:tcPr>
            <w:tcW w:w="7050" w:type="dxa"/>
            <w:noWrap w:val="0"/>
            <w:vAlign w:val="center"/>
          </w:tcPr>
          <w:p w14:paraId="1A66905C">
            <w:pPr>
              <w:keepNext w:val="0"/>
              <w:keepLines w:val="0"/>
              <w:pageBreakBefore w:val="0"/>
              <w:widowControl w:val="0"/>
              <w:kinsoku/>
              <w:wordWrap w:val="0"/>
              <w:overflowPunct/>
              <w:topLinePunct w:val="0"/>
              <w:autoSpaceDE/>
              <w:autoSpaceDN/>
              <w:bidi w:val="0"/>
              <w:adjustRightInd w:val="0"/>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是否要求</w:t>
            </w:r>
            <w:r>
              <w:rPr>
                <w:rFonts w:hint="eastAsia" w:ascii="宋体" w:hAnsi="宋体" w:eastAsia="宋体" w:cs="宋体"/>
                <w:bCs/>
                <w:color w:val="auto"/>
                <w:sz w:val="24"/>
                <w:highlight w:val="none"/>
                <w:lang w:eastAsia="zh-CN"/>
              </w:rPr>
              <w:t>中标供应商</w:t>
            </w:r>
            <w:r>
              <w:rPr>
                <w:rFonts w:hint="eastAsia" w:ascii="宋体" w:hAnsi="宋体" w:eastAsia="宋体" w:cs="宋体"/>
                <w:bCs/>
                <w:color w:val="auto"/>
                <w:sz w:val="24"/>
                <w:highlight w:val="none"/>
              </w:rPr>
              <w:t>提交履约保证金：</w:t>
            </w:r>
          </w:p>
          <w:p w14:paraId="27B96D79">
            <w:pPr>
              <w:pageBreakBefore w:val="0"/>
              <w:kinsoku/>
              <w:overflowPunct/>
              <w:topLinePunct w:val="0"/>
              <w:bidi w:val="0"/>
              <w:adjustRightInd w:val="0"/>
              <w:snapToGrid w:val="0"/>
              <w:spacing w:line="288" w:lineRule="auto"/>
              <w:textAlignment w:val="auto"/>
              <w:rPr>
                <w:rFonts w:hint="eastAsia" w:ascii="宋体" w:hAnsi="宋体" w:cs="宋体"/>
                <w:bCs/>
                <w:color w:val="auto"/>
                <w:sz w:val="24"/>
                <w:highlight w:val="none"/>
                <w:lang w:eastAsia="zh-CN"/>
              </w:rPr>
            </w:pPr>
            <w:r>
              <w:rPr>
                <w:rFonts w:hint="eastAsia" w:ascii="宋体" w:hAnsi="宋体" w:eastAsia="宋体" w:cs="宋体"/>
                <w:bCs/>
                <w:color w:val="auto"/>
                <w:sz w:val="24"/>
                <w:highlight w:val="none"/>
              </w:rPr>
              <w:sym w:font="Wingdings 2" w:char="0052"/>
            </w:r>
            <w:r>
              <w:rPr>
                <w:rFonts w:hint="eastAsia" w:ascii="宋体" w:hAnsi="宋体" w:eastAsia="宋体" w:cs="宋体"/>
                <w:bCs/>
                <w:color w:val="auto"/>
                <w:sz w:val="24"/>
                <w:highlight w:val="none"/>
              </w:rPr>
              <w:t>要求</w:t>
            </w:r>
            <w:r>
              <w:rPr>
                <w:rFonts w:hint="eastAsia" w:ascii="宋体" w:hAnsi="宋体" w:cs="宋体"/>
                <w:bCs/>
                <w:color w:val="auto"/>
                <w:sz w:val="24"/>
                <w:highlight w:val="none"/>
                <w:lang w:eastAsia="zh-CN"/>
              </w:rPr>
              <w:t>，履约保证金缴纳比例：</w:t>
            </w:r>
            <w:r>
              <w:rPr>
                <w:rFonts w:hint="eastAsia" w:ascii="宋体" w:hAnsi="宋体" w:cs="宋体"/>
                <w:bCs/>
                <w:color w:val="auto"/>
                <w:sz w:val="24"/>
                <w:highlight w:val="none"/>
                <w:lang w:val="en-US" w:eastAsia="zh-CN"/>
              </w:rPr>
              <w:t>合同成交价的</w:t>
            </w:r>
            <w:r>
              <w:rPr>
                <w:rFonts w:hint="eastAsia" w:ascii="宋体" w:hAnsi="宋体" w:cs="宋体"/>
                <w:bCs/>
                <w:color w:val="auto"/>
                <w:sz w:val="24"/>
                <w:highlight w:val="none"/>
                <w:lang w:eastAsia="zh-CN"/>
              </w:rPr>
              <w:t>10.0%</w:t>
            </w:r>
          </w:p>
          <w:p w14:paraId="17E517E2">
            <w:pPr>
              <w:pageBreakBefore w:val="0"/>
              <w:kinsoku/>
              <w:overflowPunct/>
              <w:topLinePunct w:val="0"/>
              <w:bidi w:val="0"/>
              <w:adjustRightInd w:val="0"/>
              <w:snapToGrid w:val="0"/>
              <w:spacing w:line="288" w:lineRule="auto"/>
              <w:textAlignment w:val="auto"/>
              <w:rPr>
                <w:rFonts w:hint="eastAsia" w:ascii="宋体" w:hAnsi="宋体" w:eastAsia="宋体" w:cs="宋体"/>
                <w:bCs/>
                <w:color w:val="auto"/>
                <w:kern w:val="15"/>
                <w:sz w:val="24"/>
                <w:szCs w:val="24"/>
                <w:highlight w:val="none"/>
                <w:lang w:val="en-US" w:eastAsia="zh-CN"/>
              </w:rPr>
            </w:pPr>
            <w:r>
              <w:rPr>
                <w:rFonts w:hint="eastAsia" w:ascii="宋体" w:hAnsi="宋体" w:cs="宋体"/>
                <w:bCs/>
                <w:color w:val="auto"/>
                <w:sz w:val="24"/>
                <w:highlight w:val="none"/>
                <w:lang w:eastAsia="zh-CN"/>
              </w:rPr>
              <w:t>缴纳方式：银行转账，支票/汇票/本票，保函/保险</w:t>
            </w:r>
          </w:p>
          <w:p w14:paraId="2DC034E0">
            <w:pPr>
              <w:keepNext w:val="0"/>
              <w:keepLines w:val="0"/>
              <w:pageBreakBefore w:val="0"/>
              <w:widowControl w:val="0"/>
              <w:kinsoku/>
              <w:wordWrap w:val="0"/>
              <w:overflowPunct/>
              <w:topLinePunct w:val="0"/>
              <w:autoSpaceDE/>
              <w:autoSpaceDN/>
              <w:bidi w:val="0"/>
              <w:adjustRightInd w:val="0"/>
              <w:spacing w:line="4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fldChar w:fldCharType="begin"/>
            </w:r>
            <w:r>
              <w:rPr>
                <w:rFonts w:hint="eastAsia" w:ascii="宋体" w:hAnsi="宋体" w:eastAsia="宋体" w:cs="宋体"/>
                <w:bCs/>
                <w:color w:val="auto"/>
                <w:kern w:val="0"/>
                <w:sz w:val="24"/>
                <w:szCs w:val="24"/>
                <w:highlight w:val="none"/>
              </w:rPr>
              <w:instrText xml:space="preserve">eq \o\ac(□)</w:instrText>
            </w:r>
            <w:r>
              <w:rPr>
                <w:rFonts w:hint="eastAsia" w:ascii="宋体" w:hAnsi="宋体" w:eastAsia="宋体" w:cs="宋体"/>
                <w:bCs/>
                <w:color w:val="auto"/>
                <w:kern w:val="0"/>
                <w:sz w:val="24"/>
                <w:szCs w:val="24"/>
                <w:highlight w:val="none"/>
              </w:rPr>
              <w:fldChar w:fldCharType="end"/>
            </w:r>
            <w:r>
              <w:rPr>
                <w:rFonts w:hint="eastAsia" w:ascii="宋体" w:hAnsi="宋体" w:eastAsia="宋体" w:cs="宋体"/>
                <w:bCs/>
                <w:color w:val="auto"/>
                <w:sz w:val="24"/>
                <w:highlight w:val="none"/>
              </w:rPr>
              <w:t>不要求</w:t>
            </w:r>
          </w:p>
        </w:tc>
      </w:tr>
      <w:tr w14:paraId="348A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09111ACB">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9</w:t>
            </w:r>
          </w:p>
        </w:tc>
        <w:tc>
          <w:tcPr>
            <w:tcW w:w="1692" w:type="dxa"/>
            <w:noWrap w:val="0"/>
            <w:vAlign w:val="center"/>
          </w:tcPr>
          <w:p w14:paraId="5A8EFEF2">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是否采用电子招标投标</w:t>
            </w:r>
          </w:p>
        </w:tc>
        <w:tc>
          <w:tcPr>
            <w:tcW w:w="7050" w:type="dxa"/>
            <w:noWrap w:val="0"/>
            <w:vAlign w:val="center"/>
          </w:tcPr>
          <w:p w14:paraId="50287AD4">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□否</w:t>
            </w:r>
          </w:p>
          <w:p w14:paraId="55B783B6">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fldChar w:fldCharType="begin"/>
            </w:r>
            <w:r>
              <w:rPr>
                <w:rFonts w:hint="eastAsia" w:ascii="宋体" w:hAnsi="宋体" w:eastAsia="宋体" w:cs="宋体"/>
                <w:bCs/>
                <w:color w:val="auto"/>
                <w:kern w:val="0"/>
                <w:sz w:val="24"/>
                <w:szCs w:val="24"/>
                <w:highlight w:val="none"/>
              </w:rPr>
              <w:instrText xml:space="preserve">eq \o\ac(□,√)</w:instrText>
            </w:r>
            <w:r>
              <w:rPr>
                <w:rFonts w:hint="eastAsia" w:ascii="宋体" w:hAnsi="宋体" w:eastAsia="宋体" w:cs="宋体"/>
                <w:bCs/>
                <w:color w:val="auto"/>
                <w:kern w:val="0"/>
                <w:sz w:val="24"/>
                <w:szCs w:val="24"/>
                <w:highlight w:val="none"/>
              </w:rPr>
              <w:fldChar w:fldCharType="end"/>
            </w:r>
            <w:r>
              <w:rPr>
                <w:rFonts w:hint="eastAsia" w:ascii="宋体" w:hAnsi="宋体" w:eastAsia="宋体" w:cs="宋体"/>
                <w:bCs/>
                <w:color w:val="auto"/>
                <w:kern w:val="0"/>
                <w:sz w:val="24"/>
                <w:szCs w:val="24"/>
                <w:highlight w:val="none"/>
              </w:rPr>
              <w:t>是，具体要求：详见</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须知前附表第10.9项。</w:t>
            </w:r>
          </w:p>
        </w:tc>
      </w:tr>
      <w:tr w14:paraId="5C7C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56BB1D69">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10.</w:t>
            </w:r>
            <w:r>
              <w:rPr>
                <w:rFonts w:hint="eastAsia" w:ascii="宋体" w:hAnsi="宋体" w:eastAsia="宋体" w:cs="宋体"/>
                <w:bCs/>
                <w:color w:val="auto"/>
                <w:sz w:val="24"/>
                <w:szCs w:val="24"/>
                <w:highlight w:val="none"/>
              </w:rPr>
              <w:t>1</w:t>
            </w:r>
          </w:p>
        </w:tc>
        <w:tc>
          <w:tcPr>
            <w:tcW w:w="1692" w:type="dxa"/>
            <w:noWrap w:val="0"/>
            <w:vAlign w:val="center"/>
          </w:tcPr>
          <w:p w14:paraId="02920D14">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bCs/>
                <w:color w:val="auto"/>
                <w:kern w:val="15"/>
                <w:sz w:val="24"/>
                <w:szCs w:val="24"/>
                <w:highlight w:val="none"/>
              </w:rPr>
            </w:pPr>
            <w:r>
              <w:rPr>
                <w:rFonts w:hint="eastAsia" w:ascii="宋体" w:hAnsi="宋体" w:eastAsia="宋体" w:cs="宋体"/>
                <w:bCs/>
                <w:color w:val="auto"/>
                <w:kern w:val="15"/>
                <w:sz w:val="24"/>
                <w:szCs w:val="24"/>
                <w:highlight w:val="none"/>
                <w:lang w:val="zh-CN"/>
              </w:rPr>
              <w:t>评审办法</w:t>
            </w:r>
          </w:p>
        </w:tc>
        <w:tc>
          <w:tcPr>
            <w:tcW w:w="7050" w:type="dxa"/>
            <w:noWrap w:val="0"/>
            <w:vAlign w:val="center"/>
          </w:tcPr>
          <w:p w14:paraId="443E7090">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kern w:val="15"/>
                <w:sz w:val="24"/>
                <w:szCs w:val="24"/>
                <w:highlight w:val="none"/>
                <w:lang w:val="zh-CN"/>
              </w:rPr>
              <w:t>综合评分法</w:t>
            </w:r>
          </w:p>
        </w:tc>
      </w:tr>
      <w:tr w14:paraId="6755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380A0390">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10</w:t>
            </w:r>
            <w:r>
              <w:rPr>
                <w:rFonts w:hint="eastAsia" w:ascii="宋体" w:hAnsi="宋体" w:eastAsia="宋体" w:cs="宋体"/>
                <w:bCs/>
                <w:color w:val="auto"/>
                <w:sz w:val="24"/>
                <w:szCs w:val="24"/>
                <w:highlight w:val="none"/>
              </w:rPr>
              <w:t>.2</w:t>
            </w:r>
          </w:p>
        </w:tc>
        <w:tc>
          <w:tcPr>
            <w:tcW w:w="1692" w:type="dxa"/>
            <w:noWrap w:val="0"/>
            <w:vAlign w:val="center"/>
          </w:tcPr>
          <w:p w14:paraId="7D9F5778">
            <w:pPr>
              <w:keepNext w:val="0"/>
              <w:keepLines w:val="0"/>
              <w:pageBreakBefore w:val="0"/>
              <w:widowControl w:val="0"/>
              <w:kinsoku/>
              <w:wordWrap w:val="0"/>
              <w:overflowPunct/>
              <w:topLinePunct w:val="0"/>
              <w:autoSpaceDE/>
              <w:autoSpaceDN/>
              <w:bidi w:val="0"/>
              <w:spacing w:line="440" w:lineRule="exact"/>
              <w:jc w:val="center"/>
              <w:textAlignment w:val="auto"/>
              <w:rPr>
                <w:rFonts w:hint="default" w:ascii="宋体" w:hAnsi="宋体" w:eastAsia="宋体" w:cs="宋体"/>
                <w:bCs/>
                <w:color w:val="auto"/>
                <w:kern w:val="15"/>
                <w:sz w:val="24"/>
                <w:szCs w:val="24"/>
                <w:highlight w:val="none"/>
                <w:lang w:val="en-US" w:eastAsia="zh-CN"/>
              </w:rPr>
            </w:pPr>
            <w:r>
              <w:rPr>
                <w:rFonts w:hint="eastAsia" w:ascii="宋体" w:hAnsi="宋体" w:cs="宋体"/>
                <w:bCs/>
                <w:color w:val="auto"/>
                <w:kern w:val="15"/>
                <w:sz w:val="24"/>
                <w:szCs w:val="24"/>
                <w:highlight w:val="none"/>
                <w:lang w:val="en-US" w:eastAsia="zh-CN"/>
              </w:rPr>
              <w:t>异常低价</w:t>
            </w:r>
          </w:p>
        </w:tc>
        <w:tc>
          <w:tcPr>
            <w:tcW w:w="7050" w:type="dxa"/>
            <w:noWrap w:val="0"/>
            <w:vAlign w:val="center"/>
          </w:tcPr>
          <w:p w14:paraId="036B180A">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Cs/>
                <w:color w:val="auto"/>
                <w:kern w:val="15"/>
                <w:sz w:val="24"/>
                <w:szCs w:val="24"/>
                <w:highlight w:val="none"/>
                <w:lang w:val="zh-CN"/>
              </w:rPr>
            </w:pPr>
            <w:r>
              <w:rPr>
                <w:rFonts w:hint="eastAsia" w:ascii="宋体" w:hAnsi="宋体" w:eastAsia="宋体" w:cs="宋体"/>
                <w:bCs/>
                <w:color w:val="auto"/>
                <w:kern w:val="15"/>
                <w:sz w:val="24"/>
                <w:szCs w:val="24"/>
                <w:highlight w:val="none"/>
                <w:lang w:val="zh-CN"/>
              </w:rPr>
              <w:t>依据财政部第</w:t>
            </w:r>
            <w:r>
              <w:rPr>
                <w:rFonts w:hint="eastAsia" w:ascii="宋体" w:hAnsi="宋体" w:eastAsia="宋体" w:cs="宋体"/>
                <w:bCs/>
                <w:color w:val="auto"/>
                <w:kern w:val="15"/>
                <w:sz w:val="24"/>
                <w:szCs w:val="24"/>
                <w:highlight w:val="none"/>
              </w:rPr>
              <w:t>87号令第60条：</w:t>
            </w:r>
            <w:r>
              <w:rPr>
                <w:rFonts w:hint="eastAsia" w:ascii="宋体" w:hAnsi="宋体" w:eastAsia="宋体" w:cs="宋体"/>
                <w:bCs/>
                <w:color w:val="auto"/>
                <w:kern w:val="15"/>
                <w:sz w:val="24"/>
                <w:szCs w:val="24"/>
                <w:highlight w:val="none"/>
                <w:lang w:val="zh-CN"/>
              </w:rPr>
              <w:t>评标委员会发现供应商的报价明显低于其他通过符合性审查供应商的报价，有可能影响产品质量或者不能诚信履约的，应当要求该供应商在</w:t>
            </w:r>
            <w:r>
              <w:rPr>
                <w:rFonts w:hint="eastAsia" w:ascii="宋体" w:hAnsi="宋体" w:cs="宋体"/>
                <w:bCs/>
                <w:color w:val="auto"/>
                <w:kern w:val="15"/>
                <w:sz w:val="24"/>
                <w:szCs w:val="24"/>
                <w:highlight w:val="none"/>
                <w:lang w:val="en-US" w:eastAsia="zh-CN"/>
              </w:rPr>
              <w:t>规定时间</w:t>
            </w:r>
            <w:r>
              <w:rPr>
                <w:rFonts w:hint="eastAsia" w:ascii="宋体" w:hAnsi="宋体" w:eastAsia="宋体" w:cs="宋体"/>
                <w:bCs/>
                <w:color w:val="auto"/>
                <w:kern w:val="15"/>
                <w:sz w:val="24"/>
                <w:szCs w:val="24"/>
                <w:highlight w:val="none"/>
                <w:lang w:val="zh-CN"/>
              </w:rPr>
              <w:t>内作出书面说明并提供相应的证明材料。供应商不能合理说明或者不能提供相应证明材料的，由评标委员会认定该供应商</w:t>
            </w:r>
            <w:r>
              <w:rPr>
                <w:rFonts w:hint="eastAsia" w:ascii="宋体" w:hAnsi="宋体" w:cs="宋体"/>
                <w:bCs/>
                <w:color w:val="auto"/>
                <w:kern w:val="15"/>
                <w:sz w:val="24"/>
                <w:szCs w:val="24"/>
                <w:highlight w:val="none"/>
                <w:lang w:val="en-US" w:eastAsia="zh-CN"/>
              </w:rPr>
              <w:t>为恶意低价</w:t>
            </w:r>
            <w:r>
              <w:rPr>
                <w:rFonts w:hint="eastAsia" w:ascii="宋体" w:hAnsi="宋体" w:eastAsia="宋体" w:cs="宋体"/>
                <w:bCs/>
                <w:color w:val="auto"/>
                <w:kern w:val="15"/>
                <w:sz w:val="24"/>
                <w:szCs w:val="24"/>
                <w:highlight w:val="none"/>
                <w:lang w:val="zh-CN"/>
              </w:rPr>
              <w:t>报价竞标，其投标将被否决。</w:t>
            </w:r>
          </w:p>
        </w:tc>
      </w:tr>
      <w:tr w14:paraId="37C38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36B19618">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10.</w:t>
            </w:r>
            <w:r>
              <w:rPr>
                <w:rFonts w:hint="eastAsia" w:ascii="宋体" w:hAnsi="宋体" w:eastAsia="宋体" w:cs="宋体"/>
                <w:bCs/>
                <w:color w:val="auto"/>
                <w:sz w:val="24"/>
                <w:szCs w:val="24"/>
                <w:highlight w:val="none"/>
              </w:rPr>
              <w:t>3</w:t>
            </w:r>
          </w:p>
        </w:tc>
        <w:tc>
          <w:tcPr>
            <w:tcW w:w="1692" w:type="dxa"/>
            <w:noWrap w:val="0"/>
            <w:vAlign w:val="center"/>
          </w:tcPr>
          <w:p w14:paraId="06FE76E9">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bCs/>
                <w:color w:val="auto"/>
                <w:kern w:val="15"/>
                <w:sz w:val="24"/>
                <w:szCs w:val="24"/>
                <w:highlight w:val="none"/>
              </w:rPr>
            </w:pPr>
            <w:r>
              <w:rPr>
                <w:rFonts w:hint="eastAsia" w:ascii="宋体" w:hAnsi="宋体" w:eastAsia="宋体" w:cs="宋体"/>
                <w:bCs/>
                <w:color w:val="auto"/>
                <w:kern w:val="15"/>
                <w:sz w:val="24"/>
                <w:szCs w:val="24"/>
                <w:highlight w:val="none"/>
              </w:rPr>
              <w:t>招标代理服务费</w:t>
            </w:r>
          </w:p>
        </w:tc>
        <w:tc>
          <w:tcPr>
            <w:tcW w:w="7050" w:type="dxa"/>
            <w:shd w:val="clear" w:color="auto" w:fill="auto"/>
            <w:noWrap w:val="0"/>
            <w:vAlign w:val="center"/>
          </w:tcPr>
          <w:p w14:paraId="60628CDA">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Cs/>
                <w:color w:val="auto"/>
                <w:kern w:val="15"/>
                <w:sz w:val="24"/>
                <w:szCs w:val="24"/>
                <w:highlight w:val="none"/>
                <w:lang w:val="en-US" w:eastAsia="zh-CN"/>
              </w:rPr>
            </w:pPr>
            <w:r>
              <w:rPr>
                <w:rFonts w:hint="eastAsia" w:ascii="宋体" w:hAnsi="宋体" w:eastAsia="宋体" w:cs="宋体"/>
                <w:bCs/>
                <w:color w:val="auto"/>
                <w:kern w:val="15"/>
                <w:sz w:val="24"/>
                <w:szCs w:val="24"/>
                <w:highlight w:val="none"/>
                <w:lang w:val="zh-CN"/>
              </w:rPr>
              <w:t>参照国家发展改革委关于进一步放开建设项目专业服务价格的通知发改价格[2015] 299号文件规定的标准，由代理机构向中标人收取。</w:t>
            </w:r>
          </w:p>
        </w:tc>
      </w:tr>
      <w:tr w14:paraId="4E68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6224F2B8">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10.</w:t>
            </w:r>
            <w:r>
              <w:rPr>
                <w:rFonts w:hint="eastAsia" w:ascii="宋体" w:hAnsi="宋体" w:eastAsia="宋体" w:cs="宋体"/>
                <w:bCs/>
                <w:color w:val="auto"/>
                <w:sz w:val="24"/>
                <w:szCs w:val="24"/>
                <w:highlight w:val="none"/>
              </w:rPr>
              <w:t>4</w:t>
            </w:r>
          </w:p>
        </w:tc>
        <w:tc>
          <w:tcPr>
            <w:tcW w:w="1692" w:type="dxa"/>
            <w:noWrap w:val="0"/>
            <w:vAlign w:val="center"/>
          </w:tcPr>
          <w:p w14:paraId="178F98F7">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代表出席开标会</w:t>
            </w:r>
          </w:p>
        </w:tc>
        <w:tc>
          <w:tcPr>
            <w:tcW w:w="7050" w:type="dxa"/>
            <w:noWrap w:val="0"/>
            <w:vAlign w:val="center"/>
          </w:tcPr>
          <w:p w14:paraId="183B5E3C">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Cs/>
                <w:color w:val="auto"/>
                <w:kern w:val="2"/>
                <w:sz w:val="24"/>
                <w:szCs w:val="24"/>
                <w:highlight w:val="none"/>
                <w:lang w:val="zh-CN"/>
              </w:rPr>
            </w:pPr>
            <w:r>
              <w:rPr>
                <w:rFonts w:hint="eastAsia" w:ascii="宋体" w:hAnsi="宋体" w:eastAsia="宋体" w:cs="宋体"/>
                <w:bCs/>
                <w:color w:val="auto"/>
                <w:kern w:val="2"/>
                <w:sz w:val="24"/>
                <w:szCs w:val="24"/>
                <w:highlight w:val="none"/>
                <w:lang w:val="zh-CN"/>
              </w:rPr>
              <w:t>按照本须知的规定，采购人邀请所有投标人的法定代表人或其委托代理人参加网上开标会。</w:t>
            </w:r>
          </w:p>
        </w:tc>
      </w:tr>
      <w:tr w14:paraId="2B33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2" w:type="dxa"/>
            <w:noWrap w:val="0"/>
            <w:vAlign w:val="center"/>
          </w:tcPr>
          <w:p w14:paraId="097A5362">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10.</w:t>
            </w:r>
            <w:r>
              <w:rPr>
                <w:rFonts w:hint="eastAsia" w:ascii="宋体" w:hAnsi="宋体" w:eastAsia="宋体" w:cs="宋体"/>
                <w:bCs/>
                <w:color w:val="auto"/>
                <w:sz w:val="24"/>
                <w:szCs w:val="24"/>
                <w:highlight w:val="none"/>
              </w:rPr>
              <w:t>5</w:t>
            </w:r>
          </w:p>
        </w:tc>
        <w:tc>
          <w:tcPr>
            <w:tcW w:w="1692" w:type="dxa"/>
            <w:noWrap w:val="0"/>
            <w:vAlign w:val="center"/>
          </w:tcPr>
          <w:p w14:paraId="60BA8FC1">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付款方式</w:t>
            </w:r>
          </w:p>
        </w:tc>
        <w:tc>
          <w:tcPr>
            <w:tcW w:w="7050" w:type="dxa"/>
            <w:noWrap w:val="0"/>
            <w:vAlign w:val="center"/>
          </w:tcPr>
          <w:p w14:paraId="7DC19D1F">
            <w:pPr>
              <w:widowControl w:val="0"/>
              <w:wordWrap w:val="0"/>
              <w:spacing w:line="440" w:lineRule="exact"/>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i w:val="0"/>
                <w:iCs w:val="0"/>
                <w:caps w:val="0"/>
                <w:color w:val="auto"/>
                <w:spacing w:val="0"/>
                <w:kern w:val="2"/>
                <w:sz w:val="24"/>
                <w:szCs w:val="24"/>
                <w:highlight w:val="none"/>
                <w:shd w:val="clear"/>
              </w:rPr>
              <w:t>签订合同后，支付合同总金额的30.00%。验收合格后支付合同总金额的70.00%。</w:t>
            </w:r>
          </w:p>
        </w:tc>
      </w:tr>
      <w:tr w14:paraId="329E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noWrap w:val="0"/>
            <w:vAlign w:val="center"/>
          </w:tcPr>
          <w:p w14:paraId="5435A537">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10.</w:t>
            </w:r>
            <w:r>
              <w:rPr>
                <w:rFonts w:hint="eastAsia" w:ascii="宋体" w:hAnsi="宋体" w:eastAsia="宋体" w:cs="宋体"/>
                <w:bCs/>
                <w:color w:val="auto"/>
                <w:sz w:val="24"/>
                <w:szCs w:val="24"/>
                <w:highlight w:val="none"/>
              </w:rPr>
              <w:t>6</w:t>
            </w:r>
          </w:p>
        </w:tc>
        <w:tc>
          <w:tcPr>
            <w:tcW w:w="1692" w:type="dxa"/>
            <w:noWrap w:val="0"/>
            <w:vAlign w:val="center"/>
          </w:tcPr>
          <w:p w14:paraId="4E5CF447">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质保期</w:t>
            </w:r>
          </w:p>
        </w:tc>
        <w:tc>
          <w:tcPr>
            <w:tcW w:w="7050" w:type="dxa"/>
            <w:noWrap w:val="0"/>
            <w:vAlign w:val="center"/>
          </w:tcPr>
          <w:p w14:paraId="48DD71B3">
            <w:pPr>
              <w:keepNext w:val="0"/>
              <w:keepLines w:val="0"/>
              <w:pageBreakBefore w:val="0"/>
              <w:widowControl w:val="0"/>
              <w:kinsoku/>
              <w:wordWrap w:val="0"/>
              <w:overflowPunct/>
              <w:topLinePunct w:val="0"/>
              <w:autoSpaceDE/>
              <w:autoSpaceDN/>
              <w:bidi w:val="0"/>
              <w:spacing w:line="440" w:lineRule="exact"/>
              <w:textAlignment w:val="auto"/>
              <w:rPr>
                <w:rFonts w:hint="default"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自货物验收合格之日起</w:t>
            </w:r>
            <w:r>
              <w:rPr>
                <w:rFonts w:hint="eastAsia" w:ascii="宋体" w:hAnsi="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lang w:val="en-US" w:eastAsia="zh-CN"/>
              </w:rPr>
              <w:t>年。</w:t>
            </w:r>
          </w:p>
        </w:tc>
      </w:tr>
      <w:tr w14:paraId="679B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DF5074">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zh-CN"/>
              </w:rPr>
              <w:t>10.</w:t>
            </w:r>
            <w:r>
              <w:rPr>
                <w:rFonts w:hint="eastAsia" w:ascii="宋体" w:hAnsi="宋体" w:cs="宋体"/>
                <w:bCs/>
                <w:color w:val="auto"/>
                <w:sz w:val="24"/>
                <w:szCs w:val="24"/>
                <w:highlight w:val="none"/>
                <w:lang w:val="en-US" w:eastAsia="zh-CN"/>
              </w:rPr>
              <w:t>7</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0D18022D">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供应商</w:t>
            </w:r>
            <w:r>
              <w:rPr>
                <w:rFonts w:hint="eastAsia" w:ascii="宋体" w:hAnsi="宋体" w:cs="宋体"/>
                <w:bCs/>
                <w:color w:val="auto"/>
                <w:sz w:val="24"/>
                <w:szCs w:val="24"/>
                <w:highlight w:val="none"/>
                <w:lang w:val="en-US" w:eastAsia="zh-CN"/>
              </w:rPr>
              <w:t>投标无效</w:t>
            </w:r>
            <w:r>
              <w:rPr>
                <w:rFonts w:hint="eastAsia" w:ascii="宋体" w:hAnsi="宋体" w:eastAsia="宋体" w:cs="宋体"/>
                <w:bCs/>
                <w:color w:val="auto"/>
                <w:sz w:val="24"/>
                <w:szCs w:val="24"/>
                <w:highlight w:val="none"/>
                <w:lang w:val="zh-CN"/>
              </w:rPr>
              <w:t>说明</w:t>
            </w:r>
          </w:p>
        </w:tc>
        <w:tc>
          <w:tcPr>
            <w:tcW w:w="7050" w:type="dxa"/>
            <w:tcBorders>
              <w:top w:val="single" w:color="auto" w:sz="4" w:space="0"/>
              <w:left w:val="single" w:color="auto" w:sz="4" w:space="0"/>
              <w:bottom w:val="single" w:color="auto" w:sz="4" w:space="0"/>
              <w:right w:val="single" w:color="auto" w:sz="4" w:space="0"/>
            </w:tcBorders>
            <w:noWrap w:val="0"/>
            <w:vAlign w:val="center"/>
          </w:tcPr>
          <w:p w14:paraId="380421F0">
            <w:pPr>
              <w:wordWrap w:val="0"/>
              <w:adjustRightInd w:val="0"/>
              <w:spacing w:line="440" w:lineRule="exact"/>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1、供应商需在开标前将</w:t>
            </w:r>
            <w:r>
              <w:rPr>
                <w:rFonts w:hint="eastAsia" w:ascii="宋体" w:hAnsi="宋体" w:cs="宋体"/>
                <w:bCs/>
                <w:color w:val="auto"/>
                <w:sz w:val="24"/>
                <w:szCs w:val="24"/>
                <w:highlight w:val="none"/>
                <w:lang w:val="en-US" w:eastAsia="zh-CN"/>
              </w:rPr>
              <w:t>投标</w:t>
            </w:r>
            <w:r>
              <w:rPr>
                <w:rFonts w:hint="eastAsia" w:ascii="宋体" w:hAnsi="宋体" w:cs="宋体"/>
                <w:bCs/>
                <w:color w:val="auto"/>
                <w:sz w:val="24"/>
                <w:szCs w:val="24"/>
                <w:highlight w:val="none"/>
                <w:lang w:val="zh-CN"/>
              </w:rPr>
              <w:t>文件制作工具生成的加密文件上传到政府采购云平台（网址：http://www.zcygov.cn）。</w:t>
            </w:r>
          </w:p>
          <w:p w14:paraId="220EFFDA">
            <w:pPr>
              <w:wordWrap w:val="0"/>
              <w:adjustRightInd w:val="0"/>
              <w:snapToGrid w:val="0"/>
              <w:spacing w:line="440" w:lineRule="exact"/>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2、开标时，供应商需用生成最终</w:t>
            </w:r>
            <w:r>
              <w:rPr>
                <w:rFonts w:hint="eastAsia" w:ascii="宋体" w:hAnsi="宋体" w:cs="宋体"/>
                <w:bCs/>
                <w:color w:val="auto"/>
                <w:sz w:val="24"/>
                <w:szCs w:val="24"/>
                <w:highlight w:val="none"/>
                <w:lang w:val="en-US" w:eastAsia="zh-CN"/>
              </w:rPr>
              <w:t>投标</w:t>
            </w:r>
            <w:r>
              <w:rPr>
                <w:rFonts w:hint="eastAsia" w:ascii="宋体" w:hAnsi="宋体" w:cs="宋体"/>
                <w:bCs/>
                <w:color w:val="auto"/>
                <w:sz w:val="24"/>
                <w:szCs w:val="24"/>
                <w:highlight w:val="none"/>
                <w:lang w:val="zh-CN"/>
              </w:rPr>
              <w:t>文件所使用的ca锁，以防</w:t>
            </w:r>
            <w:r>
              <w:rPr>
                <w:rFonts w:hint="eastAsia" w:ascii="宋体" w:hAnsi="宋体" w:cs="宋体"/>
                <w:bCs/>
                <w:color w:val="auto"/>
                <w:sz w:val="24"/>
                <w:szCs w:val="24"/>
                <w:highlight w:val="none"/>
              </w:rPr>
              <w:t>签到、</w:t>
            </w:r>
            <w:r>
              <w:rPr>
                <w:rFonts w:hint="eastAsia" w:ascii="宋体" w:hAnsi="宋体" w:cs="宋体"/>
                <w:bCs/>
                <w:color w:val="auto"/>
                <w:sz w:val="24"/>
                <w:szCs w:val="24"/>
                <w:highlight w:val="none"/>
                <w:lang w:val="zh-CN"/>
              </w:rPr>
              <w:t>解密失败。</w:t>
            </w:r>
          </w:p>
          <w:p w14:paraId="6A3696AF">
            <w:pPr>
              <w:keepNext w:val="0"/>
              <w:keepLines w:val="0"/>
              <w:pageBreakBefore w:val="0"/>
              <w:widowControl w:val="0"/>
              <w:kinsoku/>
              <w:wordWrap w:val="0"/>
              <w:overflowPunct/>
              <w:topLinePunct w:val="0"/>
              <w:autoSpaceDE/>
              <w:autoSpaceDN/>
              <w:bidi w:val="0"/>
              <w:adjustRightInd w:val="0"/>
              <w:spacing w:line="440" w:lineRule="exact"/>
              <w:rPr>
                <w:rFonts w:hint="eastAsia" w:ascii="宋体" w:hAnsi="宋体" w:eastAsia="宋体" w:cs="宋体"/>
                <w:bCs/>
                <w:color w:val="auto"/>
                <w:sz w:val="24"/>
                <w:szCs w:val="24"/>
                <w:highlight w:val="none"/>
                <w:lang w:val="zh-CN"/>
              </w:rPr>
            </w:pPr>
            <w:r>
              <w:rPr>
                <w:rFonts w:hint="eastAsia" w:ascii="宋体" w:hAnsi="宋体" w:cs="宋体"/>
                <w:bCs/>
                <w:color w:val="auto"/>
                <w:sz w:val="24"/>
                <w:szCs w:val="24"/>
                <w:highlight w:val="none"/>
                <w:lang w:val="zh-CN"/>
              </w:rPr>
              <w:t>开评标过程中如因上述原因导致</w:t>
            </w:r>
            <w:r>
              <w:rPr>
                <w:rFonts w:hint="eastAsia" w:ascii="宋体" w:hAnsi="宋体" w:cs="宋体"/>
                <w:bCs/>
                <w:color w:val="auto"/>
                <w:sz w:val="24"/>
                <w:szCs w:val="24"/>
                <w:highlight w:val="none"/>
                <w:lang w:val="en-US" w:eastAsia="zh-CN"/>
              </w:rPr>
              <w:t>投标无效</w:t>
            </w:r>
            <w:r>
              <w:rPr>
                <w:rFonts w:hint="eastAsia" w:ascii="宋体" w:hAnsi="宋体" w:cs="宋体"/>
                <w:bCs/>
                <w:color w:val="auto"/>
                <w:sz w:val="24"/>
                <w:szCs w:val="24"/>
                <w:highlight w:val="none"/>
                <w:lang w:val="zh-CN"/>
              </w:rPr>
              <w:t>标，供应商自行承担后果。</w:t>
            </w:r>
          </w:p>
        </w:tc>
      </w:tr>
      <w:tr w14:paraId="6F3F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2CD4BAF8">
            <w:pPr>
              <w:keepNext w:val="0"/>
              <w:keepLines w:val="0"/>
              <w:pageBreakBefore w:val="0"/>
              <w:widowControl w:val="0"/>
              <w:kinsoku/>
              <w:wordWrap w:val="0"/>
              <w:overflowPunct/>
              <w:topLinePunct w:val="0"/>
              <w:autoSpaceDE/>
              <w:autoSpaceDN/>
              <w:bidi w:val="0"/>
              <w:adjustRightInd w:val="0"/>
              <w:spacing w:line="440" w:lineRule="exact"/>
              <w:jc w:val="center"/>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10.8</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4E6D8FC2">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电子招投标相关说明</w:t>
            </w:r>
          </w:p>
        </w:tc>
        <w:tc>
          <w:tcPr>
            <w:tcW w:w="7050" w:type="dxa"/>
            <w:tcBorders>
              <w:top w:val="single" w:color="auto" w:sz="4" w:space="0"/>
              <w:left w:val="single" w:color="auto" w:sz="4" w:space="0"/>
              <w:bottom w:val="single" w:color="auto" w:sz="4" w:space="0"/>
              <w:right w:val="single" w:color="auto" w:sz="4" w:space="0"/>
            </w:tcBorders>
            <w:noWrap w:val="0"/>
            <w:vAlign w:val="center"/>
          </w:tcPr>
          <w:p w14:paraId="0B9EC9E3">
            <w:pPr>
              <w:keepNext w:val="0"/>
              <w:keepLines w:val="0"/>
              <w:pageBreakBefore w:val="0"/>
              <w:widowControl w:val="0"/>
              <w:kinsoku/>
              <w:wordWrap w:val="0"/>
              <w:overflowPunct/>
              <w:topLinePunct w:val="0"/>
              <w:autoSpaceDE/>
              <w:autoSpaceDN/>
              <w:bidi w:val="0"/>
              <w:adjustRightInd w:val="0"/>
              <w:spacing w:line="440" w:lineRule="exac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本次招标实行不见面开标，具体要求如下：</w:t>
            </w:r>
          </w:p>
          <w:p w14:paraId="6F11DC96">
            <w:pPr>
              <w:keepNext w:val="0"/>
              <w:keepLines w:val="0"/>
              <w:pageBreakBefore w:val="0"/>
              <w:widowControl w:val="0"/>
              <w:kinsoku/>
              <w:wordWrap w:val="0"/>
              <w:overflowPunct/>
              <w:topLinePunct w:val="0"/>
              <w:autoSpaceDE/>
              <w:autoSpaceDN/>
              <w:bidi w:val="0"/>
              <w:adjustRightInd w:val="0"/>
              <w:spacing w:line="440" w:lineRule="exact"/>
              <w:rPr>
                <w:rFonts w:hint="eastAsia" w:ascii="宋体" w:hAnsi="宋体" w:eastAsia="宋体" w:cs="宋体"/>
                <w:bCs/>
                <w:color w:val="auto"/>
                <w:sz w:val="24"/>
                <w:szCs w:val="24"/>
                <w:highlight w:val="none"/>
                <w:lang w:val="zh-CN"/>
              </w:rPr>
            </w:pPr>
            <w:r>
              <w:rPr>
                <w:rFonts w:ascii="宋体" w:hAnsi="宋体" w:eastAsia="宋体" w:cs="宋体"/>
                <w:color w:val="auto"/>
                <w:sz w:val="24"/>
                <w:szCs w:val="24"/>
                <w:highlight w:val="none"/>
              </w:rPr>
              <w:t>一、业务要求 1.开标项目的时间均以国家授时中心发布的时间为准。2.政府采购云平台不见面开标系统适用进入政府采购云平台的政府采购项目。 3.通过该系统完成投标过程。依照</w:t>
            </w:r>
            <w:r>
              <w:rPr>
                <w:rFonts w:hint="eastAsia" w:ascii="宋体" w:hAnsi="宋体" w:cs="宋体"/>
                <w:color w:val="auto"/>
                <w:sz w:val="24"/>
                <w:szCs w:val="24"/>
                <w:highlight w:val="none"/>
                <w:lang w:eastAsia="zh-CN"/>
              </w:rPr>
              <w:t>招标文件</w:t>
            </w:r>
            <w:r>
              <w:rPr>
                <w:rFonts w:ascii="宋体" w:hAnsi="宋体" w:eastAsia="宋体" w:cs="宋体"/>
                <w:color w:val="auto"/>
                <w:sz w:val="24"/>
                <w:szCs w:val="24"/>
                <w:highlight w:val="none"/>
              </w:rPr>
              <w:t>的规定完成电子投标文件的编制和提交。如未按</w:t>
            </w:r>
            <w:r>
              <w:rPr>
                <w:rFonts w:hint="eastAsia" w:ascii="宋体" w:hAnsi="宋体" w:cs="宋体"/>
                <w:color w:val="auto"/>
                <w:sz w:val="24"/>
                <w:szCs w:val="24"/>
                <w:highlight w:val="none"/>
                <w:lang w:eastAsia="zh-CN"/>
              </w:rPr>
              <w:t>招标文件</w:t>
            </w:r>
            <w:r>
              <w:rPr>
                <w:rFonts w:ascii="宋体" w:hAnsi="宋体" w:eastAsia="宋体" w:cs="宋体"/>
                <w:color w:val="auto"/>
                <w:sz w:val="24"/>
                <w:szCs w:val="24"/>
                <w:highlight w:val="none"/>
              </w:rPr>
              <w:t>要求编制、提交电子投标文件，将可能导致否决投标，其后果由投标人自负。4.投标人应充分考虑到网络及系统平台可能存在的突发状况，在投标文件编制完成后尽早完成上传。5.投标文件提交截止时间前，采购人或招标代理提前进入政府采购云平台（网址：http:// www.zcygov.cn）不见面开标系统，播放测试音频，各投标人提前进入该系统(网址http://www.zcygov.cn），实时观看音视频交互效果并及时在系统互动区反馈，未按时加入系统互动区并完成登录操作的或未能在开标会议区内全程参与交互的，视为放弃交互和放弃对开评标全过程质疑的权利，投标人将无法看到解密指令、否决投标及澄清、唱标等实时情况，并承担由此产生的一切后果。6.投标文件提交截止时间后，通过系统互动区发出投标文件解密的指令，投标人在任意地点按规定时间自行实施远程解密，解密限定在规定时间内完成。 7.投标人必须使用能正确解密投标文件的CA 证书，在</w:t>
            </w:r>
            <w:r>
              <w:rPr>
                <w:rFonts w:hint="eastAsia" w:ascii="宋体" w:hAnsi="宋体" w:eastAsia="宋体" w:cs="宋体"/>
                <w:color w:val="auto"/>
                <w:sz w:val="24"/>
                <w:szCs w:val="24"/>
                <w:highlight w:val="none"/>
                <w:lang w:eastAsia="zh-CN"/>
              </w:rPr>
              <w:t>系统</w:t>
            </w:r>
            <w:r>
              <w:rPr>
                <w:rFonts w:ascii="宋体" w:hAnsi="宋体" w:eastAsia="宋体" w:cs="宋体"/>
                <w:color w:val="auto"/>
                <w:sz w:val="24"/>
                <w:szCs w:val="24"/>
                <w:highlight w:val="none"/>
              </w:rPr>
              <w:t>规定的时间内完成远程解密，因投标人原因未能解密、解密失败或解密超时，视为投标人撤销其投标文件；因采购人或系统原因，导致无法按时完成投标文件解密或开标、评标工作无法进行的，可根据实际情况相应延迟解密时间或调整开标、评标时间。 8.开标当日，投标人不必抵达开标现场，仅需在任意地点通过政府采购云平台（网址：http:// www.zcygov.cn）不见面开标系统参加开标会议，并根据需要使用开标系统与现场采购人进行互动交流、澄清、质疑等活动。 9.开标、评标过程中，参与远程交互的各投标人应始终为同一个人，中途不得更换，在否决投标、澄清、质疑等特殊情况下需要交互时，投标人一端参与交互的人员只能是投标人的法定代表人或授权委托人（答辩等类似环节需要其他人员参与的除外），投标人不得以不承认交互人员的资格或身份等为借口推脱，投标人自行承担随意更换人员所导致的一切后果。二、系统操作注意事项 （一）软硬件及网络要求 1.参与不见面开标电脑须安装有清晰可用的摄像头、音响和麦克风设备。 2.参与不见面开标电脑须安装正确驱动，可在不见面开标系统登录界面的驱动下载页面进行下载及后续安装。3.为更好实时查看不见面开标室现场，推荐使用20M 及以上网络宽带。 4.操作系统为 win7 或 win10 系统，IE10 版本及以上，运存≥4G （二）投标文件制作及上传说明 1.供应商在政府采购云平台网注册入库成为正式供应商后，在平台上按《政府采购项目电子交易管理操作指南-供应商》进行投标操作。投标人须办理数字证书方可参加投标。2.收到 CA 锁以后在“政采云”登陆界面，点击CA 登录-CA驱动下载-下载并安装政采云投标客户端和CA 驱动，账号绑定CA后才能进行投标文件制作。 3.若对项目采购电子交易系统操作有疑问，可登录“政采云”平台，点击右侧咨询小采，获取采小蜜智能服务管家帮助，或拨打政采云服务热线 95763 获取帮助。4.根据</w:t>
            </w:r>
            <w:r>
              <w:rPr>
                <w:rFonts w:hint="eastAsia" w:ascii="宋体" w:hAnsi="宋体" w:eastAsia="宋体" w:cs="宋体"/>
                <w:color w:val="auto"/>
                <w:sz w:val="24"/>
                <w:szCs w:val="24"/>
                <w:highlight w:val="none"/>
                <w:lang w:eastAsia="zh-CN"/>
              </w:rPr>
              <w:t>相关</w:t>
            </w:r>
            <w:r>
              <w:rPr>
                <w:rFonts w:ascii="宋体" w:hAnsi="宋体" w:eastAsia="宋体" w:cs="宋体"/>
                <w:color w:val="auto"/>
                <w:sz w:val="24"/>
                <w:szCs w:val="24"/>
                <w:highlight w:val="none"/>
              </w:rPr>
              <w:t>要求使用对应版本的投标文件制作工具。（三）开标过程注意事项 1.开标当天，投标人务必于开标前提前登录系统，进入所投标项目，在项目签到界面进行线上签到。2.开标过程中请重点关注不见面开标系统互动区消息，及时查阅，并根据消息提醒及时进行投标文件在线解密等操作。3.项目进入投标文件在线解密阶段后，须在</w:t>
            </w:r>
            <w:r>
              <w:rPr>
                <w:rFonts w:hint="eastAsia" w:ascii="宋体" w:hAnsi="宋体" w:cs="宋体"/>
                <w:color w:val="auto"/>
                <w:sz w:val="24"/>
                <w:szCs w:val="24"/>
                <w:highlight w:val="none"/>
                <w:lang w:eastAsia="zh-CN"/>
              </w:rPr>
              <w:t>招标文件</w:t>
            </w:r>
            <w:r>
              <w:rPr>
                <w:rFonts w:ascii="宋体" w:hAnsi="宋体" w:eastAsia="宋体" w:cs="宋体"/>
                <w:color w:val="auto"/>
                <w:sz w:val="24"/>
                <w:szCs w:val="24"/>
                <w:highlight w:val="none"/>
              </w:rPr>
              <w:t>规定解密时间内使用相应的投标文件 CA 证书进行在线解密，否则将无法解密。 四、技术支持 1.若遇问题可联系工作人员，通过以下方式：可登录“政采云”平台，点击右侧咨询小采，获取采小蜜智能服务管家帮助，或拨打政采云服务热线95763 获取帮助。2.为更直观了解、掌握本系统使用方法，建议在具体项目开标前先行浏览本系统相关操作手册，可在本系统登录界面的操作手册页面进行下载、查看。 3.关于后续相关常见问题及注意事项，请及时关注政府采购云平台（网址：http:// www.zcygov.cn）</w:t>
            </w:r>
            <w:r>
              <w:rPr>
                <w:rFonts w:hint="eastAsia" w:ascii="宋体" w:hAnsi="宋体" w:eastAsia="宋体" w:cs="宋体"/>
                <w:bCs/>
                <w:color w:val="auto"/>
                <w:sz w:val="24"/>
                <w:szCs w:val="24"/>
                <w:highlight w:val="none"/>
                <w:lang w:val="zh-CN"/>
              </w:rPr>
              <w:t>。</w:t>
            </w:r>
          </w:p>
        </w:tc>
      </w:tr>
      <w:tr w14:paraId="1CD4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9964" w:type="dxa"/>
            <w:gridSpan w:val="3"/>
            <w:noWrap w:val="0"/>
            <w:vAlign w:val="center"/>
          </w:tcPr>
          <w:p w14:paraId="5963C34C">
            <w:pPr>
              <w:keepNext w:val="0"/>
              <w:keepLines w:val="0"/>
              <w:pageBreakBefore w:val="0"/>
              <w:widowControl w:val="0"/>
              <w:kinsoku/>
              <w:wordWrap w:val="0"/>
              <w:overflowPunct/>
              <w:topLinePunct w:val="0"/>
              <w:autoSpaceDE/>
              <w:autoSpaceDN/>
              <w:bidi w:val="0"/>
              <w:adjustRightInd/>
              <w:snapToGrid/>
              <w:spacing w:line="0" w:lineRule="atLeas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须知前附表”用于修改、补充和完善正文中的相关事宜，前附表与正文如有冲突以正文为准。</w:t>
            </w:r>
          </w:p>
          <w:p w14:paraId="405A624A">
            <w:pPr>
              <w:pStyle w:val="18"/>
              <w:rPr>
                <w:rFonts w:hint="default" w:eastAsia="宋体"/>
                <w:highlight w:val="none"/>
                <w:lang w:val="en-US" w:eastAsia="zh-CN"/>
              </w:rPr>
            </w:pPr>
            <w:r>
              <w:rPr>
                <w:rFonts w:hint="eastAsia" w:ascii="宋体" w:hAnsi="宋体" w:cs="宋体"/>
                <w:bCs/>
                <w:color w:val="auto"/>
                <w:sz w:val="24"/>
                <w:szCs w:val="24"/>
                <w:highlight w:val="none"/>
                <w:lang w:val="en-US" w:eastAsia="zh-CN"/>
              </w:rPr>
              <w:t>2.本项目招标公告与招标文件投标人须知内容有不符之处，以本招标文件投标人须知内容为准。招标文件的最终解释权归采购人所有。</w:t>
            </w:r>
          </w:p>
        </w:tc>
      </w:tr>
    </w:tbl>
    <w:p w14:paraId="71585364">
      <w:pPr>
        <w:pageBreakBefore w:val="0"/>
        <w:kinsoku/>
        <w:overflowPunct/>
        <w:topLinePunct w:val="0"/>
        <w:bidi w:val="0"/>
        <w:spacing w:line="288" w:lineRule="auto"/>
        <w:textAlignment w:val="auto"/>
        <w:rPr>
          <w:rFonts w:hint="eastAsia" w:ascii="宋体" w:hAnsi="宋体" w:eastAsia="宋体" w:cs="宋体"/>
          <w:color w:val="auto"/>
          <w:sz w:val="24"/>
          <w:szCs w:val="24"/>
          <w:highlight w:val="yellow"/>
        </w:rPr>
      </w:pPr>
    </w:p>
    <w:p w14:paraId="3CF3A121">
      <w:pPr>
        <w:pStyle w:val="11"/>
        <w:pageBreakBefore w:val="0"/>
        <w:kinsoku/>
        <w:overflowPunct/>
        <w:topLinePunct w:val="0"/>
        <w:bidi w:val="0"/>
        <w:spacing w:line="288"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供应商须知</w:t>
      </w:r>
      <w:bookmarkEnd w:id="0"/>
    </w:p>
    <w:p w14:paraId="0405EE7A">
      <w:pPr>
        <w:keepNext w:val="0"/>
        <w:keepLines w:val="0"/>
        <w:pageBreakBefore w:val="0"/>
        <w:widowControl w:val="0"/>
        <w:kinsoku/>
        <w:wordWrap w:val="0"/>
        <w:overflowPunct/>
        <w:topLinePunct w:val="0"/>
        <w:autoSpaceDE/>
        <w:autoSpaceDN/>
        <w:bidi w:val="0"/>
        <w:adjustRightInd w:val="0"/>
        <w:spacing w:line="440" w:lineRule="exact"/>
        <w:textAlignment w:val="auto"/>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1.总则</w:t>
      </w:r>
    </w:p>
    <w:p w14:paraId="41BCA582">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1.1 招标项目概况</w:t>
      </w:r>
    </w:p>
    <w:p w14:paraId="66BF1343">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 xml:space="preserve">1.1.1 </w:t>
      </w:r>
      <w:r>
        <w:rPr>
          <w:rFonts w:hint="eastAsia" w:ascii="宋体" w:hAnsi="宋体" w:eastAsia="宋体" w:cs="宋体"/>
          <w:bCs/>
          <w:color w:val="auto"/>
          <w:sz w:val="24"/>
          <w:szCs w:val="24"/>
          <w:highlight w:val="none"/>
        </w:rPr>
        <w:t>本次招标适用法律法规为《中华人民共和国政府采购法》、《中华人民共和国政府采购法实施条例》、《政府采购货物和服务招标投标管理办法》及政府采购其它相关法规。</w:t>
      </w:r>
    </w:p>
    <w:p w14:paraId="06BB2160">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采购人：见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63FD5C61">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采购代理机构：见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739D0F5D">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项目名称：见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32277F9E">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供货地点：见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2D8D7AB2">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1.1.6 投标人</w:t>
      </w:r>
      <w:r>
        <w:rPr>
          <w:rFonts w:hint="eastAsia" w:ascii="宋体" w:hAnsi="宋体" w:eastAsia="宋体" w:cs="宋体"/>
          <w:color w:val="auto"/>
          <w:sz w:val="24"/>
          <w:highlight w:val="none"/>
        </w:rPr>
        <w:t>（供应商）</w:t>
      </w:r>
      <w:r>
        <w:rPr>
          <w:rFonts w:hint="eastAsia" w:ascii="宋体" w:hAnsi="宋体" w:eastAsia="宋体" w:cs="宋体"/>
          <w:color w:val="auto"/>
          <w:sz w:val="24"/>
          <w:szCs w:val="24"/>
          <w:highlight w:val="none"/>
          <w:lang w:val="en-US" w:eastAsia="zh-CN"/>
        </w:rPr>
        <w:t>：是指向采购人提供货物、工程或者服务的法人、其他组织或者自然人。</w:t>
      </w:r>
    </w:p>
    <w:p w14:paraId="5DF7F560">
      <w:pPr>
        <w:wordWrap w:val="0"/>
        <w:adjustRightInd w:val="0"/>
        <w:spacing w:line="440" w:lineRule="exact"/>
        <w:ind w:firstLine="482"/>
        <w:rPr>
          <w:rFonts w:hint="eastAsia"/>
          <w:color w:val="auto"/>
          <w:highlight w:val="none"/>
          <w:lang w:val="zh-CN"/>
        </w:rPr>
      </w:pPr>
      <w:r>
        <w:rPr>
          <w:rFonts w:hint="eastAsia" w:ascii="宋体" w:hAnsi="宋体" w:cs="宋体"/>
          <w:color w:val="auto"/>
          <w:sz w:val="24"/>
          <w:szCs w:val="24"/>
          <w:highlight w:val="none"/>
        </w:rPr>
        <w:t>1.1.</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投标人代表</w:t>
      </w:r>
      <w:r>
        <w:rPr>
          <w:rFonts w:hint="eastAsia" w:ascii="宋体" w:hAnsi="宋体" w:cs="宋体"/>
          <w:color w:val="auto"/>
          <w:sz w:val="24"/>
          <w:szCs w:val="24"/>
          <w:highlight w:val="none"/>
        </w:rPr>
        <w:t>：是指法人</w:t>
      </w:r>
      <w:r>
        <w:rPr>
          <w:rFonts w:hint="eastAsia" w:ascii="宋体" w:hAnsi="宋体" w:cs="宋体"/>
          <w:color w:val="auto"/>
          <w:sz w:val="24"/>
          <w:szCs w:val="24"/>
          <w:highlight w:val="none"/>
          <w:lang w:eastAsia="zh-CN"/>
        </w:rPr>
        <w:t>及被授权人</w:t>
      </w:r>
      <w:r>
        <w:rPr>
          <w:rFonts w:hint="eastAsia" w:ascii="宋体" w:hAnsi="宋体" w:cs="宋体"/>
          <w:color w:val="auto"/>
          <w:sz w:val="24"/>
          <w:szCs w:val="24"/>
          <w:highlight w:val="none"/>
        </w:rPr>
        <w:t>。</w:t>
      </w:r>
    </w:p>
    <w:p w14:paraId="5C3336E5">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1.2 资金来源和落实情况</w:t>
      </w:r>
    </w:p>
    <w:p w14:paraId="51212417">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1.2.1 资金来源及比例：见</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须知前附表。</w:t>
      </w:r>
    </w:p>
    <w:p w14:paraId="5AA2A4CE">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1.2.2 资金落实情况：见</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须知前附表。</w:t>
      </w:r>
    </w:p>
    <w:p w14:paraId="61D2E2C5">
      <w:pPr>
        <w:keepNext w:val="0"/>
        <w:keepLines w:val="0"/>
        <w:pageBreakBefore w:val="0"/>
        <w:widowControl w:val="0"/>
        <w:tabs>
          <w:tab w:val="center" w:pos="4737"/>
        </w:tabs>
        <w:kinsoku/>
        <w:wordWrap w:val="0"/>
        <w:overflowPunct/>
        <w:topLinePunct w:val="0"/>
        <w:autoSpaceDE/>
        <w:autoSpaceDN/>
        <w:bidi w:val="0"/>
        <w:adjustRightInd w:val="0"/>
        <w:spacing w:line="440" w:lineRule="exact"/>
        <w:jc w:val="left"/>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1.3 招标范围、供货及安装工期和质量标准</w:t>
      </w:r>
    </w:p>
    <w:p w14:paraId="4595A486">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1.3.1 招标范围：见</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须知前附表。</w:t>
      </w:r>
    </w:p>
    <w:p w14:paraId="5EF153B2">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1.3.2 供货期：见</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须知前附表。</w:t>
      </w:r>
    </w:p>
    <w:p w14:paraId="57543B94">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1.3.3 质量标准：见</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须知前附表。</w:t>
      </w:r>
    </w:p>
    <w:p w14:paraId="5BE79854">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1.4 供应商资格要求</w:t>
      </w:r>
    </w:p>
    <w:p w14:paraId="381B01EF">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1.4.1 </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应具备承担本采购项目的资格条件、能力和信誉：</w:t>
      </w:r>
      <w:r>
        <w:rPr>
          <w:rFonts w:hint="eastAsia" w:ascii="宋体" w:hAnsi="宋体" w:eastAsia="宋体" w:cs="宋体"/>
          <w:color w:val="auto"/>
          <w:sz w:val="24"/>
          <w:szCs w:val="24"/>
          <w:highlight w:val="none"/>
        </w:rPr>
        <w:t>参加本项目政府采购活动的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必须完全具备《中华人民共和国政府采购法》第二十二条规定的资格要求，同时对招标文件作出实质性响应，在上传提交投标文件的同时按招标文件要求提供</w:t>
      </w:r>
      <w:r>
        <w:rPr>
          <w:rFonts w:hint="eastAsia" w:ascii="宋体" w:hAnsi="宋体" w:eastAsia="宋体" w:cs="宋体"/>
          <w:bCs/>
          <w:color w:val="auto"/>
          <w:sz w:val="24"/>
          <w:szCs w:val="24"/>
          <w:highlight w:val="none"/>
        </w:rPr>
        <w:t>有关</w:t>
      </w:r>
      <w:r>
        <w:rPr>
          <w:rFonts w:hint="eastAsia" w:ascii="宋体" w:hAnsi="宋体" w:eastAsia="宋体" w:cs="宋体"/>
          <w:bCs/>
          <w:color w:val="auto"/>
          <w:sz w:val="24"/>
          <w:szCs w:val="24"/>
          <w:highlight w:val="none"/>
          <w:lang w:eastAsia="zh-CN"/>
        </w:rPr>
        <w:t>资格证明</w:t>
      </w:r>
      <w:r>
        <w:rPr>
          <w:rFonts w:hint="eastAsia" w:ascii="宋体" w:hAnsi="宋体" w:eastAsia="宋体" w:cs="宋体"/>
          <w:bCs/>
          <w:color w:val="auto"/>
          <w:sz w:val="24"/>
          <w:szCs w:val="24"/>
          <w:highlight w:val="none"/>
        </w:rPr>
        <w:t>文件原件，具体要求见</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须知前附表第1.4.1项和第3.1.1项</w:t>
      </w:r>
      <w:r>
        <w:rPr>
          <w:rFonts w:hint="eastAsia" w:ascii="宋体" w:hAnsi="宋体" w:eastAsia="宋体" w:cs="宋体"/>
          <w:color w:val="auto"/>
          <w:sz w:val="24"/>
          <w:szCs w:val="24"/>
          <w:highlight w:val="none"/>
        </w:rPr>
        <w:t>。</w:t>
      </w:r>
    </w:p>
    <w:p w14:paraId="320EFEC1">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以上各款关于合格</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资格条件的要求均须提供中文文本，否则无效，</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应按《投标文件格式》的相关规定提交。</w:t>
      </w:r>
    </w:p>
    <w:p w14:paraId="33083EB7">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 xml:space="preserve">1.4.2 </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须知前附表规定接受联合体投标的，联合体除应符合本章第 1.4.1 款和</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须知前附表的要求外，还应遵守以下规定：</w:t>
      </w:r>
    </w:p>
    <w:p w14:paraId="2F8FF037">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（1）联合体各方应按招标文件提供的格式签订联合体协议书，明确联合体牵头人和各方权利义务，并承诺就中标项目向采购人承担连带责任；</w:t>
      </w:r>
    </w:p>
    <w:p w14:paraId="5380F2FD">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（2）联合体各方不得再以自己名义单独或参加其他联合体在本招标项目中投标，否则各相关投标均无效。</w:t>
      </w:r>
    </w:p>
    <w:p w14:paraId="3ECCEEDD">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1.4.3 供应商不得存在下列情形之一：</w:t>
      </w:r>
    </w:p>
    <w:p w14:paraId="0106254D">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（1）为采购人不具有独立法人资格的附属机构（单位）；</w:t>
      </w:r>
    </w:p>
    <w:p w14:paraId="530E8D7C">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（2）与采购人存在利害关系且可能影响招标公正性；</w:t>
      </w:r>
    </w:p>
    <w:p w14:paraId="29B823D9">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（3）与本采购项目的其他</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为同一个单位负责人；</w:t>
      </w:r>
    </w:p>
    <w:p w14:paraId="2E3A4AE7">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（4）与本采购项目的其他</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存在控股、管理关系；</w:t>
      </w:r>
    </w:p>
    <w:p w14:paraId="3B463CB7">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（5）为本采购标项目的采购代理机构；</w:t>
      </w:r>
    </w:p>
    <w:p w14:paraId="5C37CF19">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（6）与本采购项目的采购代理机构同为一个法定代表人；</w:t>
      </w:r>
    </w:p>
    <w:p w14:paraId="40D78245">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（7）与本采购项目的采购代理机构存在控股或参股关系；</w:t>
      </w:r>
    </w:p>
    <w:p w14:paraId="1CD29721">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（8）被依法暂停或者取消投标资格；</w:t>
      </w:r>
    </w:p>
    <w:p w14:paraId="56600A90">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（9）被责令停产停业、暂扣或者吊销许可证、暂扣或者吊销执照；</w:t>
      </w:r>
    </w:p>
    <w:p w14:paraId="7E1CD8C7">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（10）进入清算程序，或被宣告破产，或其他丧失履约能力的情形；</w:t>
      </w:r>
    </w:p>
    <w:p w14:paraId="2D5198CF">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（11）在最近三年内发生重大供货质量问题（以相关行业主管部门的行政处罚决定或司法机关出具的有关法律文书为准）；</w:t>
      </w:r>
    </w:p>
    <w:p w14:paraId="4BFC3EE4">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（12）被工商行政管理机关在“信用中国”网站中</w:t>
      </w:r>
      <w:r>
        <w:rPr>
          <w:rFonts w:hint="eastAsia" w:ascii="宋体" w:hAnsi="宋体" w:eastAsia="宋体" w:cs="宋体"/>
          <w:color w:val="auto"/>
          <w:sz w:val="24"/>
          <w:szCs w:val="24"/>
          <w:highlight w:val="none"/>
        </w:rPr>
        <w:t>列入失信被执行人名单、</w:t>
      </w:r>
      <w:r>
        <w:rPr>
          <w:rFonts w:hint="eastAsia" w:ascii="宋体" w:hAnsi="宋体" w:eastAsia="宋体" w:cs="宋体"/>
          <w:color w:val="auto"/>
          <w:sz w:val="24"/>
          <w:szCs w:val="24"/>
          <w:highlight w:val="none"/>
          <w:lang w:eastAsia="zh-CN"/>
        </w:rPr>
        <w:t>税收违法黑名单</w:t>
      </w:r>
      <w:r>
        <w:rPr>
          <w:rFonts w:hint="eastAsia" w:ascii="宋体" w:hAnsi="宋体" w:eastAsia="宋体" w:cs="宋体"/>
          <w:color w:val="auto"/>
          <w:sz w:val="24"/>
          <w:szCs w:val="24"/>
          <w:highlight w:val="none"/>
        </w:rPr>
        <w:t>名单</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中国政府采购网</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列入政府采购严重违法失信行为记录名单；</w:t>
      </w:r>
    </w:p>
    <w:p w14:paraId="0A20BFD4">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（13）被最高人民法院在各级信用信息共享平台中列入失信被执行人名单；</w:t>
      </w:r>
    </w:p>
    <w:p w14:paraId="28D0DF67">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（14）在近三年内</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或其法定代表人有行贿犯罪行为的（以中国裁判文书网的查询结果为准）；</w:t>
      </w:r>
    </w:p>
    <w:p w14:paraId="41D0AFFA">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（15）法律法规或</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须知前附表规定的其他情形。</w:t>
      </w:r>
    </w:p>
    <w:p w14:paraId="765FDDFA">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1.5 费用承担</w:t>
      </w:r>
    </w:p>
    <w:p w14:paraId="049843DD">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供应商准备和参加投标活动发生的费用自理，</w:t>
      </w:r>
      <w:r>
        <w:rPr>
          <w:rFonts w:hint="eastAsia" w:ascii="宋体" w:hAnsi="宋体" w:eastAsia="宋体" w:cs="宋体"/>
          <w:color w:val="auto"/>
          <w:sz w:val="24"/>
          <w:szCs w:val="24"/>
          <w:highlight w:val="none"/>
          <w:lang w:val="zh-CN"/>
        </w:rPr>
        <w:t>无论投标的结果如何，</w:t>
      </w:r>
      <w:r>
        <w:rPr>
          <w:rFonts w:hint="eastAsia" w:ascii="宋体" w:hAnsi="宋体" w:eastAsia="宋体" w:cs="宋体"/>
          <w:bCs/>
          <w:color w:val="auto"/>
          <w:sz w:val="24"/>
          <w:szCs w:val="24"/>
          <w:highlight w:val="none"/>
          <w:lang w:val="zh-CN"/>
        </w:rPr>
        <w:t>采购人和采购代理机构在任何情况下均无义务和责任承担这些费用。</w:t>
      </w:r>
    </w:p>
    <w:p w14:paraId="1DFEAFE1">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1.6 保密和披露</w:t>
      </w:r>
    </w:p>
    <w:p w14:paraId="478D32DF">
      <w:pPr>
        <w:keepNext w:val="0"/>
        <w:keepLines w:val="0"/>
        <w:pageBreakBefore w:val="0"/>
        <w:widowControl w:val="0"/>
        <w:kinsoku/>
        <w:wordWrap w:val="0"/>
        <w:overflowPunct/>
        <w:topLinePunct w:val="0"/>
        <w:autoSpaceDE/>
        <w:autoSpaceDN/>
        <w:bidi w:val="0"/>
        <w:adjustRightInd w:val="0"/>
        <w:spacing w:line="44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1.6.1 参与招标投标活动的各方应对招标文件和投标文件中的商业和技术等秘密保密</w:t>
      </w:r>
      <w:r>
        <w:rPr>
          <w:rFonts w:hint="eastAsia" w:ascii="宋体" w:hAnsi="宋体" w:eastAsia="宋体" w:cs="宋体"/>
          <w:bCs/>
          <w:color w:val="auto"/>
          <w:sz w:val="24"/>
          <w:szCs w:val="24"/>
          <w:highlight w:val="none"/>
        </w:rPr>
        <w:t>，否则应承担相应的法律责任。</w:t>
      </w:r>
    </w:p>
    <w:p w14:paraId="1719332D">
      <w:pPr>
        <w:keepNext w:val="0"/>
        <w:keepLines w:val="0"/>
        <w:pageBreakBefore w:val="0"/>
        <w:widowControl w:val="0"/>
        <w:tabs>
          <w:tab w:val="left" w:pos="709"/>
        </w:tabs>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1.6.2 </w:t>
      </w:r>
      <w:r>
        <w:rPr>
          <w:rFonts w:hint="eastAsia" w:ascii="宋体" w:hAnsi="宋体" w:eastAsia="宋体" w:cs="宋体"/>
          <w:color w:val="auto"/>
          <w:sz w:val="24"/>
          <w:szCs w:val="24"/>
          <w:highlight w:val="none"/>
          <w:lang w:val="zh-CN"/>
        </w:rPr>
        <w:t>采购人有权将供应商提供的所有资料向其他政府部门或有关的非政府机构负责评审</w:t>
      </w:r>
      <w:r>
        <w:rPr>
          <w:rFonts w:hint="eastAsia" w:ascii="宋体" w:hAnsi="宋体" w:cs="宋体"/>
          <w:color w:val="auto"/>
          <w:sz w:val="24"/>
          <w:szCs w:val="24"/>
          <w:highlight w:val="none"/>
          <w:lang w:val="zh-CN"/>
        </w:rPr>
        <w:t>投标文件</w:t>
      </w:r>
      <w:r>
        <w:rPr>
          <w:rFonts w:hint="eastAsia" w:ascii="宋体" w:hAnsi="宋体" w:eastAsia="宋体" w:cs="宋体"/>
          <w:color w:val="auto"/>
          <w:sz w:val="24"/>
          <w:szCs w:val="24"/>
          <w:highlight w:val="none"/>
          <w:lang w:val="zh-CN"/>
        </w:rPr>
        <w:t>的人员或与评标有关的人员披露。</w:t>
      </w:r>
    </w:p>
    <w:p w14:paraId="419D86AF">
      <w:pPr>
        <w:keepNext w:val="0"/>
        <w:keepLines w:val="0"/>
        <w:pageBreakBefore w:val="0"/>
        <w:widowControl w:val="0"/>
        <w:kinsoku/>
        <w:wordWrap w:val="0"/>
        <w:overflowPunct/>
        <w:topLinePunct w:val="0"/>
        <w:autoSpaceDE/>
        <w:autoSpaceDN/>
        <w:bidi w:val="0"/>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1.6.3 在下列情形下：当发布中标公告和其它公告时，当国家机关调查、审查、审计时，以及在其他符合法律规定的情形下，采购人无须事先征求供应商/中标供应商同意而可以披露关于采购过程、投标文件、合同文本、合同签署情况的资料、供应商/中标供应商的名称及地址、采购内容的有关信息以及补充条款等，并且对任何已经公布过的内容或与之内容相同的资料无须再承担保密责任。</w:t>
      </w:r>
    </w:p>
    <w:p w14:paraId="74FAA031">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1.7 语言文字</w:t>
      </w:r>
    </w:p>
    <w:p w14:paraId="6864C78E">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lang w:val="zh-CN"/>
        </w:rPr>
      </w:pPr>
      <w:r>
        <w:rPr>
          <w:rFonts w:hint="eastAsia" w:ascii="宋体" w:hAnsi="宋体" w:eastAsia="宋体" w:cs="宋体"/>
          <w:bCs/>
          <w:color w:val="auto"/>
          <w:sz w:val="24"/>
          <w:szCs w:val="24"/>
          <w:highlight w:val="none"/>
        </w:rPr>
        <w:t>与招标投标有关的语言均使用中文，专用术语使用外文的，应附有中文注释。</w:t>
      </w:r>
    </w:p>
    <w:p w14:paraId="0B50D74E">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1.8 计量单位</w:t>
      </w:r>
    </w:p>
    <w:p w14:paraId="59824B04">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所有计量均采用中华人民共和国法定计量单位。</w:t>
      </w:r>
    </w:p>
    <w:p w14:paraId="6A7C3D16">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1.9 踏勘现场</w:t>
      </w:r>
    </w:p>
    <w:p w14:paraId="7FD79C41">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1.9.1 </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须知前附表规定组织踏勘现场的，采购人按</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须知前附表规定的时间、地点组织</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踏勘项目现场。部分</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未按时参加踏勘现场的，不影响踏勘现场的正常进行。</w:t>
      </w:r>
    </w:p>
    <w:p w14:paraId="3849F540">
      <w:pPr>
        <w:keepNext w:val="0"/>
        <w:keepLines w:val="0"/>
        <w:pageBreakBefore w:val="0"/>
        <w:widowControl w:val="0"/>
        <w:kinsoku/>
        <w:wordWrap w:val="0"/>
        <w:overflowPunct/>
        <w:topLinePunct w:val="0"/>
        <w:autoSpaceDE/>
        <w:autoSpaceDN/>
        <w:bidi w:val="0"/>
        <w:adjustRightInd w:val="0"/>
        <w:spacing w:line="440" w:lineRule="exact"/>
        <w:ind w:firstLine="360" w:firstLineChars="15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1.9.2 </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踏勘现场发生的费用自理。</w:t>
      </w:r>
    </w:p>
    <w:p w14:paraId="1B3D5E7D">
      <w:pPr>
        <w:keepNext w:val="0"/>
        <w:keepLines w:val="0"/>
        <w:pageBreakBefore w:val="0"/>
        <w:widowControl w:val="0"/>
        <w:kinsoku/>
        <w:wordWrap w:val="0"/>
        <w:overflowPunct/>
        <w:topLinePunct w:val="0"/>
        <w:autoSpaceDE/>
        <w:autoSpaceDN/>
        <w:bidi w:val="0"/>
        <w:adjustRightInd w:val="0"/>
        <w:spacing w:line="440" w:lineRule="exact"/>
        <w:ind w:firstLine="360" w:firstLineChars="15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1.9.3 除采购人的原因外，</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自行负责在踏勘现场中所发生的人员伤亡和财产损失。</w:t>
      </w:r>
    </w:p>
    <w:p w14:paraId="4886B7C1">
      <w:pPr>
        <w:keepNext w:val="0"/>
        <w:keepLines w:val="0"/>
        <w:pageBreakBefore w:val="0"/>
        <w:widowControl w:val="0"/>
        <w:kinsoku/>
        <w:wordWrap w:val="0"/>
        <w:overflowPunct/>
        <w:topLinePunct w:val="0"/>
        <w:autoSpaceDE/>
        <w:autoSpaceDN/>
        <w:bidi w:val="0"/>
        <w:adjustRightInd w:val="0"/>
        <w:spacing w:line="440" w:lineRule="exact"/>
        <w:ind w:firstLine="360" w:firstLineChars="15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1.9.4 采购人在踏勘现场中获取的相关情况，供</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在编制投标文件时参考，采购人不对</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据此作出的判断和决策负责。</w:t>
      </w:r>
    </w:p>
    <w:p w14:paraId="72D0E94C">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1.10 投标预备会</w:t>
      </w:r>
    </w:p>
    <w:p w14:paraId="078BCB9D">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1.10.1</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须知前附表规定召开投标预备会的，采购人按</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须知前附表规定的时间和地点召开投标预备会，澄清</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提出的问题。</w:t>
      </w:r>
    </w:p>
    <w:p w14:paraId="1E97A492">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1.10.2</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应按</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须知前附表规定的时间和形式将提出的问题送达采购人，以便采购人在会议期间澄清。</w:t>
      </w:r>
    </w:p>
    <w:p w14:paraId="2E660C63">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b/>
          <w:color w:val="auto"/>
          <w:sz w:val="24"/>
          <w:szCs w:val="24"/>
          <w:highlight w:val="none"/>
          <w:lang w:val="zh-CN"/>
        </w:rPr>
      </w:pPr>
      <w:r>
        <w:rPr>
          <w:rFonts w:hint="eastAsia" w:ascii="宋体" w:hAnsi="宋体" w:eastAsia="宋体" w:cs="宋体"/>
          <w:bCs/>
          <w:color w:val="auto"/>
          <w:sz w:val="24"/>
          <w:szCs w:val="24"/>
          <w:highlight w:val="none"/>
          <w:lang w:val="zh-CN"/>
        </w:rPr>
        <w:t>1.10.3</w:t>
      </w:r>
      <w:r>
        <w:rPr>
          <w:rFonts w:hint="eastAsia" w:ascii="宋体" w:hAnsi="宋体" w:eastAsia="宋体" w:cs="宋体"/>
          <w:bCs/>
          <w:color w:val="auto"/>
          <w:sz w:val="24"/>
          <w:szCs w:val="24"/>
          <w:highlight w:val="none"/>
        </w:rPr>
        <w:t>投标预备会后，采购人将对</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所提问题的澄清，以</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须知前附表规定的形式通知所有获取招标文件的</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。该澄清内容为招标文件的组成部分。</w:t>
      </w:r>
    </w:p>
    <w:p w14:paraId="320B8B32">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1.11 分包</w:t>
      </w:r>
    </w:p>
    <w:p w14:paraId="18830377">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1.11.1 </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拟在中标后将中标项目的非主体、非关键性工作进行分包的，应符合</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须知前附表规定的分包内容、分包金额和资格要求等限制性条件，除</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须知前附表规定的非主体、非关键性工作外，其他工作不得分包。</w:t>
      </w:r>
    </w:p>
    <w:p w14:paraId="70A25614">
      <w:pPr>
        <w:keepNext w:val="0"/>
        <w:keepLines w:val="0"/>
        <w:pageBreakBefore w:val="0"/>
        <w:widowControl w:val="0"/>
        <w:kinsoku/>
        <w:wordWrap w:val="0"/>
        <w:overflowPunct/>
        <w:topLinePunct w:val="0"/>
        <w:autoSpaceDE/>
        <w:autoSpaceDN/>
        <w:bidi w:val="0"/>
        <w:adjustRightInd w:val="0"/>
        <w:spacing w:line="440" w:lineRule="exact"/>
        <w:ind w:firstLine="360" w:firstLineChars="15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1.11.2 </w:t>
      </w:r>
      <w:r>
        <w:rPr>
          <w:rFonts w:hint="eastAsia" w:ascii="宋体" w:hAnsi="宋体" w:eastAsia="宋体" w:cs="宋体"/>
          <w:bCs/>
          <w:color w:val="auto"/>
          <w:sz w:val="24"/>
          <w:szCs w:val="24"/>
          <w:highlight w:val="none"/>
          <w:lang w:eastAsia="zh-CN"/>
        </w:rPr>
        <w:t>中标供应商</w:t>
      </w:r>
      <w:r>
        <w:rPr>
          <w:rFonts w:hint="eastAsia" w:ascii="宋体" w:hAnsi="宋体" w:eastAsia="宋体" w:cs="宋体"/>
          <w:bCs/>
          <w:color w:val="auto"/>
          <w:sz w:val="24"/>
          <w:szCs w:val="24"/>
          <w:highlight w:val="none"/>
        </w:rPr>
        <w:t>不得向他人转让中标项目，接受分包的人不得再次分包。</w:t>
      </w:r>
      <w:r>
        <w:rPr>
          <w:rFonts w:hint="eastAsia" w:ascii="宋体" w:hAnsi="宋体" w:eastAsia="宋体" w:cs="宋体"/>
          <w:bCs/>
          <w:color w:val="auto"/>
          <w:sz w:val="24"/>
          <w:szCs w:val="24"/>
          <w:highlight w:val="none"/>
          <w:lang w:eastAsia="zh-CN"/>
        </w:rPr>
        <w:t>中标供应商</w:t>
      </w:r>
      <w:r>
        <w:rPr>
          <w:rFonts w:hint="eastAsia" w:ascii="宋体" w:hAnsi="宋体" w:eastAsia="宋体" w:cs="宋体"/>
          <w:bCs/>
          <w:color w:val="auto"/>
          <w:sz w:val="24"/>
          <w:szCs w:val="24"/>
          <w:highlight w:val="none"/>
        </w:rPr>
        <w:t>应当就分包项目向采购人负责，接受分包的人就分包项目承担连带责任。</w:t>
      </w:r>
    </w:p>
    <w:p w14:paraId="4DCE2485">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zh-CN"/>
        </w:rPr>
        <w:t xml:space="preserve">1.12 </w:t>
      </w:r>
      <w:r>
        <w:rPr>
          <w:rFonts w:hint="eastAsia" w:ascii="宋体" w:hAnsi="宋体" w:eastAsia="宋体" w:cs="宋体"/>
          <w:b/>
          <w:color w:val="auto"/>
          <w:sz w:val="24"/>
          <w:szCs w:val="24"/>
          <w:highlight w:val="none"/>
        </w:rPr>
        <w:t>响应和偏差</w:t>
      </w:r>
    </w:p>
    <w:p w14:paraId="7CA91034">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 投标文件应当对招标文件的</w:t>
      </w:r>
      <w:r>
        <w:rPr>
          <w:rFonts w:hint="eastAsia" w:ascii="宋体" w:hAnsi="宋体" w:eastAsia="宋体" w:cs="宋体"/>
          <w:color w:val="auto"/>
          <w:sz w:val="24"/>
          <w:szCs w:val="24"/>
          <w:highlight w:val="none"/>
          <w:lang w:eastAsia="zh-CN"/>
        </w:rPr>
        <w:t>所有条款的</w:t>
      </w:r>
      <w:r>
        <w:rPr>
          <w:rFonts w:hint="eastAsia" w:ascii="宋体" w:hAnsi="宋体" w:eastAsia="宋体" w:cs="宋体"/>
          <w:color w:val="auto"/>
          <w:sz w:val="24"/>
          <w:szCs w:val="24"/>
          <w:highlight w:val="none"/>
        </w:rPr>
        <w:t>实质性要求和条件作出满足性或更有利于采购人的响应，否则，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的投标将被否决。实质性要求和条件见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2A421F75">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1.12.2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应根据招标文件的要求提供投标技术文件等内容以对招标文件作出响应。</w:t>
      </w:r>
    </w:p>
    <w:p w14:paraId="33914E11">
      <w:pPr>
        <w:keepNext w:val="0"/>
        <w:keepLines w:val="0"/>
        <w:pageBreakBefore w:val="0"/>
        <w:widowControl w:val="0"/>
        <w:kinsoku/>
        <w:wordWrap w:val="0"/>
        <w:overflowPunct/>
        <w:topLinePunct w:val="0"/>
        <w:autoSpaceDE/>
        <w:autoSpaceDN/>
        <w:bidi w:val="0"/>
        <w:adjustRightIn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1.12.3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须知前附表允许</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偏离</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某些要求的，偏差应当符合</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规定的偏差范围和幅度。</w:t>
      </w:r>
    </w:p>
    <w:p w14:paraId="418A3D47">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2.招标文件</w:t>
      </w:r>
    </w:p>
    <w:p w14:paraId="359FC232">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招标文件的组成</w:t>
      </w:r>
    </w:p>
    <w:p w14:paraId="4D3358DA">
      <w:pPr>
        <w:keepNext w:val="0"/>
        <w:keepLines w:val="0"/>
        <w:pageBreakBefore w:val="0"/>
        <w:widowControl w:val="0"/>
        <w:kinsoku/>
        <w:wordWrap w:val="0"/>
        <w:overflowPunct/>
        <w:topLinePunct w:val="0"/>
        <w:autoSpaceDE/>
        <w:autoSpaceDN/>
        <w:bidi w:val="0"/>
        <w:adjustRightInd w:val="0"/>
        <w:spacing w:line="4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本招标文件包括：</w:t>
      </w:r>
    </w:p>
    <w:p w14:paraId="13DDC92E">
      <w:pPr>
        <w:keepNext w:val="0"/>
        <w:keepLines w:val="0"/>
        <w:pageBreakBefore w:val="0"/>
        <w:widowControl w:val="0"/>
        <w:kinsoku/>
        <w:wordWrap w:val="0"/>
        <w:overflowPunct/>
        <w:topLinePunct w:val="0"/>
        <w:autoSpaceDE/>
        <w:autoSpaceDN/>
        <w:bidi w:val="0"/>
        <w:adjustRightInd w:val="0"/>
        <w:spacing w:line="440" w:lineRule="exact"/>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w:t>
      </w:r>
    </w:p>
    <w:p w14:paraId="0B84E802">
      <w:pPr>
        <w:keepNext w:val="0"/>
        <w:keepLines w:val="0"/>
        <w:pageBreakBefore w:val="0"/>
        <w:widowControl w:val="0"/>
        <w:kinsoku/>
        <w:wordWrap w:val="0"/>
        <w:overflowPunct/>
        <w:topLinePunct w:val="0"/>
        <w:autoSpaceDE/>
        <w:autoSpaceDN/>
        <w:bidi w:val="0"/>
        <w:adjustRightInd w:val="0"/>
        <w:spacing w:line="440" w:lineRule="exact"/>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w:t>
      </w:r>
    </w:p>
    <w:p w14:paraId="1BD3322B">
      <w:pPr>
        <w:keepNext w:val="0"/>
        <w:keepLines w:val="0"/>
        <w:pageBreakBefore w:val="0"/>
        <w:widowControl w:val="0"/>
        <w:kinsoku/>
        <w:wordWrap w:val="0"/>
        <w:overflowPunct/>
        <w:topLinePunct w:val="0"/>
        <w:autoSpaceDE/>
        <w:autoSpaceDN/>
        <w:bidi w:val="0"/>
        <w:adjustRightInd w:val="0"/>
        <w:spacing w:line="440" w:lineRule="exact"/>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（3）评标办法；</w:t>
      </w:r>
    </w:p>
    <w:p w14:paraId="7774E0AA">
      <w:pPr>
        <w:keepNext w:val="0"/>
        <w:keepLines w:val="0"/>
        <w:pageBreakBefore w:val="0"/>
        <w:widowControl w:val="0"/>
        <w:kinsoku/>
        <w:wordWrap w:val="0"/>
        <w:overflowPunct/>
        <w:topLinePunct w:val="0"/>
        <w:autoSpaceDE/>
        <w:autoSpaceDN/>
        <w:bidi w:val="0"/>
        <w:adjustRightInd w:val="0"/>
        <w:spacing w:line="440" w:lineRule="exact"/>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采购需求</w:t>
      </w:r>
      <w:r>
        <w:rPr>
          <w:rFonts w:hint="eastAsia" w:ascii="宋体" w:hAnsi="宋体" w:eastAsia="宋体" w:cs="宋体"/>
          <w:color w:val="auto"/>
          <w:sz w:val="24"/>
          <w:szCs w:val="24"/>
          <w:highlight w:val="none"/>
        </w:rPr>
        <w:t>；</w:t>
      </w:r>
    </w:p>
    <w:p w14:paraId="645DF50E">
      <w:pPr>
        <w:keepNext w:val="0"/>
        <w:keepLines w:val="0"/>
        <w:pageBreakBefore w:val="0"/>
        <w:widowControl w:val="0"/>
        <w:kinsoku/>
        <w:wordWrap w:val="0"/>
        <w:overflowPunct/>
        <w:topLinePunct w:val="0"/>
        <w:autoSpaceDE/>
        <w:autoSpaceDN/>
        <w:bidi w:val="0"/>
        <w:adjustRightInd w:val="0"/>
        <w:spacing w:line="440" w:lineRule="exact"/>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合同格式</w:t>
      </w:r>
      <w:r>
        <w:rPr>
          <w:rFonts w:hint="eastAsia" w:ascii="宋体" w:hAnsi="宋体" w:eastAsia="宋体" w:cs="宋体"/>
          <w:color w:val="auto"/>
          <w:sz w:val="24"/>
          <w:szCs w:val="24"/>
          <w:highlight w:val="none"/>
        </w:rPr>
        <w:t>；</w:t>
      </w:r>
    </w:p>
    <w:p w14:paraId="23626242">
      <w:pPr>
        <w:keepNext w:val="0"/>
        <w:keepLines w:val="0"/>
        <w:pageBreakBefore w:val="0"/>
        <w:widowControl w:val="0"/>
        <w:kinsoku/>
        <w:wordWrap w:val="0"/>
        <w:overflowPunct/>
        <w:topLinePunct w:val="0"/>
        <w:autoSpaceDE/>
        <w:autoSpaceDN/>
        <w:bidi w:val="0"/>
        <w:adjustRightInd w:val="0"/>
        <w:spacing w:line="440" w:lineRule="exact"/>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（6）投标文件格式；</w:t>
      </w:r>
    </w:p>
    <w:p w14:paraId="3D6F40C8">
      <w:pPr>
        <w:keepNext w:val="0"/>
        <w:keepLines w:val="0"/>
        <w:pageBreakBefore w:val="0"/>
        <w:widowControl w:val="0"/>
        <w:kinsoku/>
        <w:wordWrap w:val="0"/>
        <w:overflowPunct/>
        <w:topLinePunct w:val="0"/>
        <w:autoSpaceDE/>
        <w:autoSpaceDN/>
        <w:bidi w:val="0"/>
        <w:adjustRightInd w:val="0"/>
        <w:spacing w:line="440" w:lineRule="exact"/>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）附件。</w:t>
      </w:r>
    </w:p>
    <w:p w14:paraId="21CD3CAB">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根据本章第 1.10 款、第 2.2 款和第 2.3 款对招标文件所作的澄清、修改，构成招标文件的组成部分，</w:t>
      </w:r>
      <w:r>
        <w:rPr>
          <w:rFonts w:hint="eastAsia" w:ascii="宋体" w:hAnsi="宋体" w:eastAsia="宋体" w:cs="宋体"/>
          <w:color w:val="auto"/>
          <w:sz w:val="24"/>
          <w:szCs w:val="24"/>
          <w:highlight w:val="none"/>
          <w:lang w:val="zh-CN"/>
        </w:rPr>
        <w:t>供应商应认真阅读招标文件中所有事项、格式、条款和规范等要求。如果供应商没有按照招标文件要求提交全部文件资料或投标文件没有对招标文件在各方面都做出实质性响应，是供应商的风险。</w:t>
      </w:r>
    </w:p>
    <w:p w14:paraId="39A9770A">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2.2 招标文件的澄清</w:t>
      </w:r>
    </w:p>
    <w:p w14:paraId="06E0F252">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2.2.1 </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应仔细阅读和检查招标文件的全部内容。如发现缺页或附件不全，应及时向采购人提出，以便补齐。如有疑问，应按</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须知前附表规定的时间和形式将提出的问题送达采购人，要求采购人对招标文件予以澄清。</w:t>
      </w:r>
    </w:p>
    <w:p w14:paraId="548613DF">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2.2.2 招标文件的澄清以</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须知前附表规定的形式发给所有获取招标文件的</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，但不指明澄清问题的来源。澄清发出的时间距本章第 4.2.1 款规定的投标截止时间不足 15 日的，并且澄清内容可能影响投标文件编制的，将相应延长投标截止时间。</w:t>
      </w:r>
    </w:p>
    <w:p w14:paraId="282BDA70">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2.2.3 </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在收到澄清后，应按</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须知前附表规定的时间和形式通知采购人，确认已收到该澄清。</w:t>
      </w:r>
    </w:p>
    <w:p w14:paraId="69F773ED">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2.2.4 除非采购人认为确有必要答复，否则，采购人有权拒绝回复</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在本章第 2.2.1 款规定的时间后的任何澄清要求。</w:t>
      </w:r>
    </w:p>
    <w:p w14:paraId="50867964">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2.3 招标文件的修改</w:t>
      </w:r>
    </w:p>
    <w:p w14:paraId="0DE39F22">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 采购人以</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须知前附表规定的形式修改招标文件，并通知所有已获取招标文件的</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。修改招标文件的时间距本章第 4.2.1 款规定的投标截止时间不足 15 日的，并且修改内容可能影响投标文件编制的，将相应延长投标截止时间。</w:t>
      </w:r>
    </w:p>
    <w:p w14:paraId="22701466">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b/>
          <w:color w:val="auto"/>
          <w:sz w:val="24"/>
          <w:szCs w:val="24"/>
          <w:highlight w:val="none"/>
          <w:lang w:val="zh-CN"/>
        </w:rPr>
      </w:pPr>
      <w:r>
        <w:rPr>
          <w:rFonts w:hint="eastAsia" w:ascii="宋体" w:hAnsi="宋体" w:eastAsia="宋体" w:cs="宋体"/>
          <w:bCs/>
          <w:color w:val="auto"/>
          <w:sz w:val="24"/>
          <w:szCs w:val="24"/>
          <w:highlight w:val="none"/>
        </w:rPr>
        <w:t xml:space="preserve">2.3.2 </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收到修改内容后，应按</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须知前附表规定的时间和形式通知采购人，确认已收到该修改。</w:t>
      </w:r>
    </w:p>
    <w:p w14:paraId="1566DE2B">
      <w:pPr>
        <w:keepNext w:val="0"/>
        <w:keepLines w:val="0"/>
        <w:pageBreakBefore w:val="0"/>
        <w:widowControl w:val="0"/>
        <w:kinsoku/>
        <w:wordWrap w:val="0"/>
        <w:overflowPunct/>
        <w:topLinePunct w:val="0"/>
        <w:autoSpaceDE/>
        <w:autoSpaceDN/>
        <w:bidi w:val="0"/>
        <w:adjustRightInd w:val="0"/>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2.3.3 招标文件的澄清、修改、补充文件均构成招标文件的组成部分，对所有供应商具有约束力，而无论其是否已经实际收到该澄清、修改、补充文件（包括答疑会纪要）。供应商都</w:t>
      </w:r>
      <w:r>
        <w:rPr>
          <w:rFonts w:hint="eastAsia" w:ascii="宋体" w:hAnsi="宋体" w:eastAsia="宋体" w:cs="宋体"/>
          <w:bCs/>
          <w:color w:val="auto"/>
          <w:sz w:val="24"/>
          <w:szCs w:val="24"/>
          <w:highlight w:val="none"/>
        </w:rPr>
        <w:t>应按</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须知前附表规定的时间和形式</w:t>
      </w:r>
      <w:r>
        <w:rPr>
          <w:rFonts w:hint="eastAsia" w:ascii="宋体" w:hAnsi="宋体" w:eastAsia="宋体" w:cs="宋体"/>
          <w:color w:val="auto"/>
          <w:sz w:val="24"/>
          <w:szCs w:val="24"/>
          <w:highlight w:val="none"/>
          <w:lang w:val="zh-CN"/>
        </w:rPr>
        <w:t>回复并</w:t>
      </w:r>
      <w:r>
        <w:rPr>
          <w:rFonts w:hint="eastAsia" w:ascii="宋体" w:hAnsi="宋体" w:eastAsia="宋体" w:cs="宋体"/>
          <w:bCs/>
          <w:color w:val="auto"/>
          <w:sz w:val="24"/>
          <w:szCs w:val="24"/>
          <w:highlight w:val="none"/>
        </w:rPr>
        <w:t>通知采购人</w:t>
      </w:r>
      <w:r>
        <w:rPr>
          <w:rFonts w:hint="eastAsia" w:ascii="宋体" w:hAnsi="宋体" w:eastAsia="宋体" w:cs="宋体"/>
          <w:color w:val="auto"/>
          <w:sz w:val="24"/>
          <w:szCs w:val="24"/>
          <w:highlight w:val="none"/>
          <w:lang w:val="zh-CN"/>
        </w:rPr>
        <w:t>确认已收到</w:t>
      </w:r>
      <w:r>
        <w:rPr>
          <w:rFonts w:hint="eastAsia" w:ascii="宋体" w:hAnsi="宋体" w:eastAsia="宋体" w:cs="宋体"/>
          <w:bCs/>
          <w:color w:val="auto"/>
          <w:sz w:val="24"/>
          <w:szCs w:val="24"/>
          <w:highlight w:val="none"/>
        </w:rPr>
        <w:t>。</w:t>
      </w:r>
    </w:p>
    <w:p w14:paraId="0C4B05A3">
      <w:pPr>
        <w:keepNext w:val="0"/>
        <w:keepLines w:val="0"/>
        <w:pageBreakBefore w:val="0"/>
        <w:widowControl w:val="0"/>
        <w:kinsoku/>
        <w:wordWrap w:val="0"/>
        <w:overflowPunct/>
        <w:topLinePunct w:val="0"/>
        <w:autoSpaceDE/>
        <w:autoSpaceDN/>
        <w:bidi w:val="0"/>
        <w:adjustRightInd w:val="0"/>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2.3.4 为使供应商有充分的时间对招标文件的澄清、修改、补充部分进行研究，采购人可在投标截止时间3日前（含）自行决定酌情延长投标截止时间，延长投标截止时间的公告将在原公告发布媒体发上发布，并</w:t>
      </w:r>
      <w:r>
        <w:rPr>
          <w:rFonts w:hint="eastAsia" w:ascii="宋体" w:hAnsi="宋体" w:eastAsia="宋体" w:cs="宋体"/>
          <w:bCs/>
          <w:color w:val="auto"/>
          <w:sz w:val="24"/>
          <w:szCs w:val="24"/>
          <w:highlight w:val="none"/>
        </w:rPr>
        <w:t>以补遗文件形式发送到</w:t>
      </w:r>
      <w:r>
        <w:rPr>
          <w:rFonts w:hint="eastAsia" w:ascii="宋体" w:hAnsi="宋体" w:eastAsia="宋体" w:cs="宋体"/>
          <w:color w:val="auto"/>
          <w:sz w:val="24"/>
          <w:szCs w:val="24"/>
          <w:highlight w:val="none"/>
          <w:lang w:eastAsia="zh-CN"/>
        </w:rPr>
        <w:t>“政采云”平台(</w:t>
      </w:r>
      <w:r>
        <w:rPr>
          <w:rFonts w:hint="eastAsia" w:ascii="宋体" w:hAnsi="宋体" w:cs="宋体"/>
          <w:color w:val="auto"/>
          <w:sz w:val="24"/>
          <w:szCs w:val="24"/>
          <w:highlight w:val="none"/>
          <w:lang w:eastAsia="zh-CN"/>
        </w:rPr>
        <w:t>https://www.zcygov.cn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rPr>
        <w:t>答疑文件</w:t>
      </w:r>
      <w:r>
        <w:rPr>
          <w:rFonts w:hint="eastAsia" w:ascii="宋体" w:hAnsi="宋体" w:eastAsia="宋体" w:cs="宋体"/>
          <w:bCs/>
          <w:color w:val="auto"/>
          <w:sz w:val="24"/>
          <w:szCs w:val="24"/>
          <w:highlight w:val="none"/>
        </w:rPr>
        <w:t>中，</w:t>
      </w:r>
      <w:r>
        <w:rPr>
          <w:rFonts w:hint="eastAsia" w:ascii="宋体" w:hAnsi="宋体" w:eastAsia="宋体" w:cs="宋体"/>
          <w:color w:val="auto"/>
          <w:sz w:val="24"/>
          <w:szCs w:val="24"/>
          <w:highlight w:val="none"/>
          <w:lang w:val="zh-CN"/>
        </w:rPr>
        <w:t>向所有潜在供应商发出</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w:t>
      </w:r>
      <w:r>
        <w:rPr>
          <w:rFonts w:hint="eastAsia" w:ascii="宋体" w:hAnsi="宋体" w:eastAsia="宋体" w:cs="宋体"/>
          <w:color w:val="auto"/>
          <w:sz w:val="24"/>
          <w:szCs w:val="24"/>
          <w:highlight w:val="none"/>
          <w:lang w:val="zh-CN"/>
        </w:rPr>
        <w:t>在供应商系统中</w:t>
      </w:r>
      <w:r>
        <w:rPr>
          <w:rFonts w:hint="eastAsia" w:ascii="宋体" w:hAnsi="宋体" w:eastAsia="宋体" w:cs="宋体"/>
          <w:bCs/>
          <w:color w:val="auto"/>
          <w:sz w:val="24"/>
          <w:szCs w:val="24"/>
          <w:highlight w:val="none"/>
        </w:rPr>
        <w:t>自行下载答疑文件。</w:t>
      </w:r>
      <w:r>
        <w:rPr>
          <w:rFonts w:hint="eastAsia" w:ascii="宋体" w:hAnsi="宋体" w:eastAsia="宋体" w:cs="宋体"/>
          <w:color w:val="auto"/>
          <w:sz w:val="24"/>
          <w:szCs w:val="24"/>
          <w:highlight w:val="none"/>
          <w:lang w:val="zh-CN"/>
        </w:rPr>
        <w:t>在这种情况下，采购人和供应商受投标截止时间制约的所有权利和义务均相应延长至新的投标截止时间。</w:t>
      </w:r>
    </w:p>
    <w:p w14:paraId="2BE56B0D">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3.投标文件</w:t>
      </w:r>
    </w:p>
    <w:p w14:paraId="06E20D5D">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3.1 投标文件的组成</w:t>
      </w:r>
    </w:p>
    <w:p w14:paraId="045D586B">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 xml:space="preserve">3.1.1 </w:t>
      </w:r>
      <w:r>
        <w:rPr>
          <w:rFonts w:hint="eastAsia" w:ascii="宋体" w:hAnsi="宋体" w:eastAsia="宋体" w:cs="宋体"/>
          <w:color w:val="auto"/>
          <w:sz w:val="24"/>
          <w:szCs w:val="24"/>
          <w:highlight w:val="none"/>
        </w:rPr>
        <w:t>投标文件分为商务部分和技术部分。商务部分是</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提交的证明其具有合格的投标资格和中标后有能力履行合同的文件。技术部分是能够证明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所提供货物和服务的合格性和符合招标文件规定的文件，</w:t>
      </w:r>
      <w:r>
        <w:rPr>
          <w:rFonts w:hint="eastAsia" w:ascii="宋体" w:hAnsi="宋体" w:eastAsia="宋体" w:cs="宋体"/>
          <w:color w:val="auto"/>
          <w:sz w:val="24"/>
          <w:szCs w:val="24"/>
          <w:highlight w:val="none"/>
          <w:lang w:eastAsia="zh-CN"/>
        </w:rPr>
        <w:t>所有复印件为加盖公章鲜章的彩色复印件原件，</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lang w:eastAsia="zh-CN"/>
        </w:rPr>
        <w:t>内附其扫描件。</w:t>
      </w:r>
      <w:r>
        <w:rPr>
          <w:rFonts w:hint="eastAsia" w:ascii="宋体" w:hAnsi="宋体" w:eastAsia="宋体" w:cs="宋体"/>
          <w:color w:val="auto"/>
          <w:sz w:val="24"/>
          <w:szCs w:val="24"/>
          <w:highlight w:val="none"/>
        </w:rPr>
        <w:t>构成投标文件的其他材料具体见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385E43B7">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应提交本招标文件第六章《投标文件格式》规定的全部商务文件和技术文件以及招标文件规定的构成投标文件的其他证明材料，若有缺失、无效或者不符合招标文件要求，将导致其投标被拒绝。</w:t>
      </w:r>
    </w:p>
    <w:p w14:paraId="5CB3E9AE">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3.1.3 </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在评标过程中作出的符合法律法规和招标文件规定的澄清确认，构成投标文件的组成部分。</w:t>
      </w:r>
    </w:p>
    <w:p w14:paraId="5C313293">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 投标报价</w:t>
      </w:r>
    </w:p>
    <w:p w14:paraId="572DF614">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投标报价应包括国家规定的增值税税金，除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须知前附表另有规定外，增值税税金按一般计税方法计算。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应按第六章“投标文件格式”的要求在投标函</w:t>
      </w:r>
      <w:r>
        <w:rPr>
          <w:rFonts w:hint="eastAsia" w:ascii="宋体" w:hAnsi="宋体" w:cs="宋体"/>
          <w:color w:val="auto"/>
          <w:sz w:val="24"/>
          <w:szCs w:val="24"/>
          <w:highlight w:val="none"/>
        </w:rPr>
        <w:t>要求在投标函</w:t>
      </w:r>
      <w:r>
        <w:rPr>
          <w:rFonts w:hint="eastAsia" w:ascii="宋体" w:hAnsi="宋体" w:cs="宋体"/>
          <w:color w:val="auto"/>
          <w:sz w:val="24"/>
          <w:szCs w:val="24"/>
          <w:highlight w:val="none"/>
          <w:lang w:eastAsia="zh-CN"/>
        </w:rPr>
        <w:t>、开标一览表</w:t>
      </w:r>
      <w:r>
        <w:rPr>
          <w:rFonts w:hint="eastAsia" w:ascii="宋体" w:hAnsi="宋体" w:cs="宋体"/>
          <w:color w:val="auto"/>
          <w:sz w:val="24"/>
          <w:szCs w:val="24"/>
          <w:highlight w:val="none"/>
        </w:rPr>
        <w:t>中进行报价并填写</w:t>
      </w:r>
      <w:r>
        <w:rPr>
          <w:rFonts w:hint="eastAsia" w:ascii="宋体" w:hAnsi="宋体" w:cs="宋体"/>
          <w:bCs/>
          <w:color w:val="auto"/>
          <w:sz w:val="24"/>
          <w:szCs w:val="24"/>
          <w:highlight w:val="none"/>
        </w:rPr>
        <w:t>投标报价明细表</w:t>
      </w:r>
      <w:r>
        <w:rPr>
          <w:rFonts w:hint="eastAsia" w:ascii="宋体" w:hAnsi="宋体" w:cs="宋体"/>
          <w:bCs/>
          <w:color w:val="auto"/>
          <w:sz w:val="24"/>
          <w:szCs w:val="24"/>
          <w:highlight w:val="none"/>
          <w:lang w:eastAsia="zh-CN"/>
        </w:rPr>
        <w:t>，必须在开标一览表空白处签</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lang w:eastAsia="zh-CN"/>
        </w:rPr>
        <w:t>字和加盖公章</w:t>
      </w:r>
      <w:r>
        <w:rPr>
          <w:rFonts w:hint="eastAsia" w:ascii="宋体" w:hAnsi="宋体" w:cs="宋体"/>
          <w:color w:val="auto"/>
          <w:sz w:val="24"/>
          <w:szCs w:val="24"/>
          <w:highlight w:val="none"/>
        </w:rPr>
        <w:t>。</w:t>
      </w:r>
    </w:p>
    <w:p w14:paraId="5B78452D">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应充分了解该项目的总体情况以及影响投标报价的其他要素。</w:t>
      </w:r>
    </w:p>
    <w:p w14:paraId="596A4DBE">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3.2.3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在投标截止时间前修改投标函中的投标报价总额，应同时修改投标文件“</w:t>
      </w:r>
      <w:r>
        <w:rPr>
          <w:rFonts w:hint="eastAsia" w:ascii="宋体" w:hAnsi="宋体" w:eastAsia="宋体" w:cs="宋体"/>
          <w:bCs/>
          <w:color w:val="auto"/>
          <w:sz w:val="24"/>
          <w:szCs w:val="24"/>
          <w:highlight w:val="none"/>
        </w:rPr>
        <w:t>投标报价明细表</w:t>
      </w:r>
      <w:r>
        <w:rPr>
          <w:rFonts w:hint="eastAsia" w:ascii="宋体" w:hAnsi="宋体" w:eastAsia="宋体" w:cs="宋体"/>
          <w:color w:val="auto"/>
          <w:sz w:val="24"/>
          <w:szCs w:val="24"/>
          <w:highlight w:val="none"/>
        </w:rPr>
        <w:t>”中的相应报价。此修改须符合本章第 4.3 款的有关要求。</w:t>
      </w:r>
    </w:p>
    <w:p w14:paraId="204FF3D9">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 采购人设有最高投标限价的，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的投标报价不得超过最高投标限价，最高投标限价在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须知前附表中载明。</w:t>
      </w:r>
    </w:p>
    <w:p w14:paraId="3218259C">
      <w:pPr>
        <w:keepNext w:val="0"/>
        <w:keepLines w:val="0"/>
        <w:pageBreakBefore w:val="0"/>
        <w:widowControl w:val="0"/>
        <w:tabs>
          <w:tab w:val="left" w:pos="760"/>
        </w:tabs>
        <w:kinsoku/>
        <w:wordWrap w:val="0"/>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3.2.5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Cs/>
          <w:color w:val="auto"/>
          <w:sz w:val="24"/>
          <w:szCs w:val="24"/>
          <w:highlight w:val="none"/>
          <w:lang w:val="zh-CN"/>
        </w:rPr>
        <w:t>投标货币：所有投标报价均以人民币元为计算单位。</w:t>
      </w:r>
    </w:p>
    <w:p w14:paraId="3970A433">
      <w:pPr>
        <w:keepNext w:val="0"/>
        <w:keepLines w:val="0"/>
        <w:pageBreakBefore w:val="0"/>
        <w:widowControl w:val="0"/>
        <w:tabs>
          <w:tab w:val="left" w:pos="760"/>
        </w:tabs>
        <w:kinsoku/>
        <w:wordWrap w:val="0"/>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3.2.6</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zh-CN"/>
        </w:rPr>
        <w:t>供应商应一次性报出投标货物的单价和总价，每种货物只允许有一个报价，任何有选择的报价将不予接受。供应商所报价格应为在本招标文件指定地点交货、由供应商负责安装调试、验收合格并交付的全部价格。</w:t>
      </w:r>
    </w:p>
    <w:p w14:paraId="32F877CF">
      <w:pPr>
        <w:keepNext w:val="0"/>
        <w:keepLines w:val="0"/>
        <w:pageBreakBefore w:val="0"/>
        <w:widowControl w:val="0"/>
        <w:tabs>
          <w:tab w:val="left" w:pos="760"/>
        </w:tabs>
        <w:kinsoku/>
        <w:wordWrap w:val="0"/>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3.2.7</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zh-CN"/>
        </w:rPr>
        <w:t>供应商所报的价格在合同执行过程中是固定不变的，不得以任何理由予以变更。以可调整的价格提交的投标将作为非响应性投标予以拒绝。</w:t>
      </w:r>
    </w:p>
    <w:p w14:paraId="11DD9308">
      <w:pPr>
        <w:keepNext w:val="0"/>
        <w:keepLines w:val="0"/>
        <w:pageBreakBefore w:val="0"/>
        <w:widowControl w:val="0"/>
        <w:kinsoku/>
        <w:wordWrap w:val="0"/>
        <w:overflowPunct/>
        <w:topLinePunct w:val="0"/>
        <w:autoSpaceDE/>
        <w:autoSpaceDN/>
        <w:bidi w:val="0"/>
        <w:adjustRightInd w:val="0"/>
        <w:spacing w:line="44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bCs/>
          <w:color w:val="auto"/>
          <w:sz w:val="24"/>
          <w:szCs w:val="24"/>
          <w:highlight w:val="none"/>
          <w:lang w:val="zh-CN"/>
        </w:rPr>
        <w:t>3.2.8</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zh-CN"/>
        </w:rPr>
        <w:t>最低报价不能作为中标的保证和唯一依据。</w:t>
      </w:r>
    </w:p>
    <w:p w14:paraId="47BFB186">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3.3 投标有效期</w:t>
      </w:r>
    </w:p>
    <w:p w14:paraId="764DDE68">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3.3.1 除</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须知前附表另有规定外，投标有效期为 90 天。</w:t>
      </w:r>
    </w:p>
    <w:p w14:paraId="022F19EB">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3.3.2 在投标有效期内，</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撤销投标文件的，应承担招标文件和法律规定的责任。</w:t>
      </w:r>
    </w:p>
    <w:p w14:paraId="6B163136">
      <w:pPr>
        <w:keepNext w:val="0"/>
        <w:keepLines w:val="0"/>
        <w:pageBreakBefore w:val="0"/>
        <w:widowControl w:val="0"/>
        <w:kinsoku/>
        <w:wordWrap w:val="0"/>
        <w:overflowPunct/>
        <w:topLinePunct w:val="0"/>
        <w:autoSpaceDE/>
        <w:autoSpaceDN/>
        <w:bidi w:val="0"/>
        <w:adjustRightInd w:val="0"/>
        <w:spacing w:line="440" w:lineRule="exact"/>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3.3.3 出现特殊情况需要延长投标有效期的，采购人或采购代理机构</w:t>
      </w:r>
      <w:r>
        <w:rPr>
          <w:rFonts w:hint="eastAsia" w:ascii="宋体" w:hAnsi="宋体" w:eastAsia="宋体" w:cs="宋体"/>
          <w:color w:val="auto"/>
          <w:sz w:val="24"/>
          <w:szCs w:val="24"/>
          <w:highlight w:val="none"/>
          <w:lang w:val="zh-CN"/>
        </w:rPr>
        <w:t>将</w:t>
      </w:r>
      <w:r>
        <w:rPr>
          <w:rFonts w:hint="eastAsia" w:ascii="宋体" w:hAnsi="宋体" w:eastAsia="宋体" w:cs="宋体"/>
          <w:bCs/>
          <w:color w:val="auto"/>
          <w:sz w:val="24"/>
          <w:szCs w:val="24"/>
          <w:highlight w:val="none"/>
        </w:rPr>
        <w:t>以补遗文件形式发送到</w:t>
      </w:r>
      <w:r>
        <w:rPr>
          <w:rFonts w:hint="eastAsia" w:ascii="宋体" w:hAnsi="宋体" w:eastAsia="宋体" w:cs="宋体"/>
          <w:color w:val="auto"/>
          <w:sz w:val="24"/>
          <w:szCs w:val="24"/>
          <w:highlight w:val="none"/>
          <w:lang w:eastAsia="zh-CN"/>
        </w:rPr>
        <w:t>“政采云”平台(</w:t>
      </w:r>
      <w:r>
        <w:rPr>
          <w:rFonts w:hint="eastAsia" w:ascii="宋体" w:hAnsi="宋体" w:cs="宋体"/>
          <w:color w:val="auto"/>
          <w:sz w:val="24"/>
          <w:szCs w:val="24"/>
          <w:highlight w:val="none"/>
          <w:lang w:eastAsia="zh-CN"/>
        </w:rPr>
        <w:t>https://www.zcygov.cn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rPr>
        <w:t>答疑文件</w:t>
      </w:r>
      <w:r>
        <w:rPr>
          <w:rFonts w:hint="eastAsia" w:ascii="宋体" w:hAnsi="宋体" w:eastAsia="宋体" w:cs="宋体"/>
          <w:bCs/>
          <w:color w:val="auto"/>
          <w:sz w:val="24"/>
          <w:szCs w:val="24"/>
          <w:highlight w:val="none"/>
        </w:rPr>
        <w:t>中，</w:t>
      </w:r>
      <w:r>
        <w:rPr>
          <w:rFonts w:hint="eastAsia" w:ascii="宋体" w:hAnsi="宋体" w:eastAsia="宋体" w:cs="宋体"/>
          <w:color w:val="auto"/>
          <w:sz w:val="24"/>
          <w:szCs w:val="24"/>
          <w:highlight w:val="none"/>
          <w:lang w:val="zh-CN"/>
        </w:rPr>
        <w:t>向所有潜在供应商发出</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w:t>
      </w:r>
      <w:r>
        <w:rPr>
          <w:rFonts w:hint="eastAsia" w:ascii="宋体" w:hAnsi="宋体" w:eastAsia="宋体" w:cs="宋体"/>
          <w:color w:val="auto"/>
          <w:sz w:val="24"/>
          <w:szCs w:val="24"/>
          <w:highlight w:val="none"/>
          <w:lang w:val="zh-CN"/>
        </w:rPr>
        <w:t>在供应商系统中</w:t>
      </w:r>
      <w:r>
        <w:rPr>
          <w:rFonts w:hint="eastAsia" w:ascii="宋体" w:hAnsi="宋体" w:eastAsia="宋体" w:cs="宋体"/>
          <w:bCs/>
          <w:color w:val="auto"/>
          <w:sz w:val="24"/>
          <w:szCs w:val="24"/>
          <w:highlight w:val="none"/>
        </w:rPr>
        <w:t>自行下载答疑文件。</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应予以书面答复，同时将书面答复函送达采购人或采购代理机构，同意延长的，应相应延长其投标保证金的有效期，但不得要求或被允许修改其投标文件；</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拒绝延长的，其投标失效，但</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有权收回其投标保证金及以现金或者支票形式递交的投标保证金的银行同期存款利息。</w:t>
      </w:r>
    </w:p>
    <w:p w14:paraId="39D5D7AF">
      <w:pPr>
        <w:keepNext w:val="0"/>
        <w:keepLines w:val="0"/>
        <w:pageBreakBefore w:val="0"/>
        <w:widowControl w:val="0"/>
        <w:tabs>
          <w:tab w:val="left" w:pos="1365"/>
        </w:tabs>
        <w:kinsoku/>
        <w:wordWrap w:val="0"/>
        <w:overflowPunct/>
        <w:topLinePunct w:val="0"/>
        <w:autoSpaceDE/>
        <w:autoSpaceDN/>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zh-CN"/>
        </w:rPr>
        <w:t>3.4 投标保证金</w:t>
      </w:r>
    </w:p>
    <w:p w14:paraId="2AF4F898">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3.4.1 </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在递交投标文件的同时，应按</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须知前附表规定的金额、形式和第六章“投标文件格式”规定的投标保证金格式递交投标保证金，并作为其投标文件的组成部分。联合体投标的，其投标保证金可以由牵头人递交，并应符合</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须知前附表的规定。</w:t>
      </w:r>
    </w:p>
    <w:p w14:paraId="7B458A62">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3.4.2 </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不按本章第 3.4.1 款要求提交投标保证金的，</w:t>
      </w:r>
      <w:r>
        <w:rPr>
          <w:rFonts w:hint="eastAsia" w:ascii="宋体" w:hAnsi="宋体" w:eastAsia="宋体" w:cs="宋体"/>
          <w:bCs/>
          <w:color w:val="auto"/>
          <w:sz w:val="24"/>
          <w:szCs w:val="24"/>
          <w:highlight w:val="none"/>
          <w:lang w:eastAsia="zh-CN"/>
        </w:rPr>
        <w:t>投标无效，</w:t>
      </w:r>
      <w:r>
        <w:rPr>
          <w:rFonts w:hint="eastAsia" w:ascii="宋体" w:hAnsi="宋体" w:eastAsia="宋体" w:cs="宋体"/>
          <w:bCs/>
          <w:color w:val="auto"/>
          <w:sz w:val="24"/>
          <w:szCs w:val="24"/>
          <w:highlight w:val="none"/>
        </w:rPr>
        <w:t>评标委员会将否决其投标。</w:t>
      </w:r>
    </w:p>
    <w:p w14:paraId="4BFA5037">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3.4.3 </w:t>
      </w:r>
      <w:r>
        <w:rPr>
          <w:rFonts w:hint="eastAsia" w:ascii="宋体" w:hAnsi="宋体" w:eastAsia="宋体" w:cs="宋体"/>
          <w:color w:val="auto"/>
          <w:sz w:val="24"/>
          <w:szCs w:val="24"/>
          <w:highlight w:val="none"/>
        </w:rPr>
        <w:t>除因处理质疑、投诉等原因外，未中标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的投标保证金在中标通知书发出之日起5个工作日内退还,</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的投标保证金自采购合同签订之日起5个工作日内退还。</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被质疑、投诉的，在调查处理期间该项目的投标保证金暂不退还，待处理结果明确后按规定处理。</w:t>
      </w:r>
    </w:p>
    <w:p w14:paraId="5BC4DE3E">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3.4.4 有下列情形之一的，投标保证金将不予退还：</w:t>
      </w:r>
    </w:p>
    <w:p w14:paraId="17A5DA1D">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在投标有效期内撤销投标文件；</w:t>
      </w:r>
    </w:p>
    <w:p w14:paraId="01B7F13D">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中标供应商</w:t>
      </w:r>
      <w:r>
        <w:rPr>
          <w:rFonts w:hint="eastAsia" w:ascii="宋体" w:hAnsi="宋体" w:eastAsia="宋体" w:cs="宋体"/>
          <w:bCs/>
          <w:color w:val="auto"/>
          <w:sz w:val="24"/>
          <w:szCs w:val="24"/>
          <w:highlight w:val="none"/>
        </w:rPr>
        <w:t>在收到中标通知书后，无正当理由不与采购人订立合同，在签订合同时向采购人提出附加条件，或者不按照招标文件要求提交履约保证金</w:t>
      </w:r>
      <w:r>
        <w:rPr>
          <w:rFonts w:hint="eastAsia" w:ascii="宋体" w:hAnsi="宋体" w:eastAsia="宋体" w:cs="宋体"/>
          <w:color w:val="auto"/>
          <w:sz w:val="24"/>
          <w:szCs w:val="24"/>
          <w:highlight w:val="none"/>
          <w:lang w:eastAsia="zh-CN"/>
        </w:rPr>
        <w:t>或质量保证金</w:t>
      </w:r>
      <w:r>
        <w:rPr>
          <w:rFonts w:hint="eastAsia" w:ascii="宋体" w:hAnsi="宋体" w:eastAsia="宋体" w:cs="宋体"/>
          <w:bCs/>
          <w:color w:val="auto"/>
          <w:sz w:val="24"/>
          <w:szCs w:val="24"/>
          <w:highlight w:val="none"/>
        </w:rPr>
        <w:t>；</w:t>
      </w:r>
    </w:p>
    <w:p w14:paraId="10382800">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szCs w:val="24"/>
          <w:highlight w:val="none"/>
        </w:rPr>
        <w:t>（3）经</w:t>
      </w:r>
      <w:r>
        <w:rPr>
          <w:rFonts w:hint="eastAsia" w:ascii="宋体" w:hAnsi="宋体" w:eastAsia="宋体" w:cs="宋体"/>
          <w:color w:val="auto"/>
          <w:sz w:val="24"/>
          <w:szCs w:val="24"/>
          <w:highlight w:val="none"/>
          <w:lang w:val="zh-CN"/>
        </w:rPr>
        <w:t>评标委员会评标过程中发现</w:t>
      </w:r>
      <w:r>
        <w:rPr>
          <w:rFonts w:hint="eastAsia" w:ascii="宋体" w:hAnsi="宋体" w:eastAsia="宋体" w:cs="宋体"/>
          <w:bCs/>
          <w:color w:val="auto"/>
          <w:sz w:val="24"/>
          <w:szCs w:val="24"/>
          <w:highlight w:val="none"/>
          <w:lang w:eastAsia="zh-CN"/>
        </w:rPr>
        <w:t>供应商</w:t>
      </w:r>
      <w:r>
        <w:rPr>
          <w:rFonts w:hint="eastAsia" w:ascii="宋体" w:hAnsi="宋体" w:eastAsia="宋体" w:cs="宋体"/>
          <w:color w:val="auto"/>
          <w:sz w:val="24"/>
          <w:szCs w:val="24"/>
          <w:highlight w:val="none"/>
          <w:lang w:val="zh-CN"/>
        </w:rPr>
        <w:t>符合“6.3.4 审查供应商是否存在串通投标行为”情形的；</w:t>
      </w:r>
    </w:p>
    <w:p w14:paraId="51A32FE0">
      <w:pPr>
        <w:keepNext w:val="0"/>
        <w:keepLines w:val="0"/>
        <w:pageBreakBefore w:val="0"/>
        <w:widowControl w:val="0"/>
        <w:kinsoku/>
        <w:wordWrap w:val="0"/>
        <w:overflowPunct/>
        <w:topLinePunct w:val="0"/>
        <w:autoSpaceDE/>
        <w:autoSpaceDN/>
        <w:bidi w:val="0"/>
        <w:adjustRightInd w:val="0"/>
        <w:spacing w:line="440" w:lineRule="exact"/>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（4）其他可以不予退还投标保证金的情形，具体详见</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须知前附表。</w:t>
      </w:r>
    </w:p>
    <w:p w14:paraId="798D9931">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3.5 资格审查资料</w:t>
      </w:r>
    </w:p>
    <w:p w14:paraId="2A592EA7">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除</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须知前附表另有规定外，</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应按</w:t>
      </w:r>
      <w:r>
        <w:rPr>
          <w:rFonts w:hint="eastAsia" w:ascii="宋体" w:hAnsi="宋体" w:eastAsia="宋体" w:cs="宋体"/>
          <w:bCs/>
          <w:color w:val="auto"/>
          <w:sz w:val="24"/>
          <w:szCs w:val="24"/>
          <w:highlight w:val="none"/>
          <w:lang w:eastAsia="zh-CN"/>
        </w:rPr>
        <w:t>《投标文件格式》及</w:t>
      </w:r>
      <w:r>
        <w:rPr>
          <w:rFonts w:hint="eastAsia" w:ascii="宋体" w:hAnsi="宋体" w:eastAsia="宋体" w:cs="宋体"/>
          <w:bCs/>
          <w:color w:val="auto"/>
          <w:sz w:val="24"/>
          <w:szCs w:val="24"/>
          <w:highlight w:val="none"/>
        </w:rPr>
        <w:t>下列规定提供资格审查资料，以证明其满足本章第 1.4 款规定的资质、财务、业绩、信誉等要求。</w:t>
      </w:r>
    </w:p>
    <w:p w14:paraId="6AF7B874">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3.5.1 “</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基本情况”应附</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营业执照和组织机构代码证的复印件（按照“三证合一”或“五证合一”登记制度进行登记的，可仅提供营业执照副本复印件）、开户许可证等材料的复印件。</w:t>
      </w:r>
    </w:p>
    <w:p w14:paraId="724034B0">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3.5.2 “公司财务状况”应附财务报表或财务审计报告，包括资产负债表、现金流量表、利润表和财务情况说明书的复印件，具体年份要求见</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须知前附表。</w:t>
      </w:r>
    </w:p>
    <w:p w14:paraId="7D6E92A5">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3.5.3 “</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的信誉情况”①参加政府采购活动前3年内在经营活动中没有重大违法记录的书面声明，格式自拟；②“信用中国”及“中国政府采购网”，具体要求见本章“</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须知前附表”第3.1.1款；③“中国裁判文书网”行贿犯罪记录，具体要求见本章“</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须知前附表”第3.1.1款；</w:t>
      </w:r>
      <w:r>
        <w:rPr>
          <w:rFonts w:hint="eastAsia" w:ascii="宋体" w:hAnsi="宋体" w:eastAsia="宋体" w:cs="宋体"/>
          <w:bCs/>
          <w:color w:val="auto"/>
          <w:sz w:val="24"/>
          <w:szCs w:val="24"/>
          <w:highlight w:val="none"/>
        </w:rPr>
        <w:sym w:font="Wingdings" w:char="F084"/>
      </w:r>
      <w:r>
        <w:rPr>
          <w:rFonts w:hint="eastAsia" w:ascii="宋体" w:hAnsi="宋体" w:eastAsia="宋体" w:cs="宋体"/>
          <w:bCs/>
          <w:color w:val="auto"/>
          <w:sz w:val="24"/>
          <w:szCs w:val="24"/>
          <w:highlight w:val="none"/>
          <w:lang w:val="zh-CN"/>
        </w:rPr>
        <w:t>发生的诉讼及仲裁情况，如有须提供</w:t>
      </w:r>
      <w:r>
        <w:rPr>
          <w:rFonts w:hint="eastAsia" w:ascii="宋体" w:hAnsi="宋体" w:eastAsia="宋体" w:cs="宋体"/>
          <w:bCs/>
          <w:color w:val="auto"/>
          <w:sz w:val="24"/>
          <w:szCs w:val="24"/>
          <w:highlight w:val="none"/>
        </w:rPr>
        <w:t>法院或仲裁机构作出的判决、裁决等有关法律文书复印件；</w:t>
      </w:r>
      <w:r>
        <w:rPr>
          <w:rFonts w:hint="eastAsia" w:ascii="宋体" w:hAnsi="宋体" w:cs="宋体"/>
          <w:color w:val="auto"/>
          <w:sz w:val="24"/>
          <w:szCs w:val="24"/>
          <w:highlight w:val="none"/>
          <w:lang w:val="en-US" w:eastAsia="zh-CN"/>
        </w:rPr>
        <w:t>针对上述内容</w:t>
      </w:r>
      <w:r>
        <w:rPr>
          <w:rFonts w:hint="eastAsia" w:ascii="宋体" w:hAnsi="宋体" w:eastAsia="宋体" w:cs="宋体"/>
          <w:color w:val="auto"/>
          <w:sz w:val="24"/>
          <w:szCs w:val="24"/>
          <w:highlight w:val="none"/>
          <w:lang w:val="en-US" w:eastAsia="zh-CN"/>
        </w:rPr>
        <w:t>投标文件内附由法定代表人或授权代表签字或盖章并加盖公章的承诺书。</w:t>
      </w:r>
      <w:r>
        <w:rPr>
          <w:rFonts w:hint="eastAsia" w:ascii="宋体" w:hAnsi="宋体" w:eastAsia="宋体" w:cs="宋体"/>
          <w:bCs/>
          <w:color w:val="auto"/>
          <w:sz w:val="24"/>
          <w:szCs w:val="24"/>
          <w:highlight w:val="none"/>
        </w:rPr>
        <w:t>具体时间要求见</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须知前附表。</w:t>
      </w:r>
    </w:p>
    <w:p w14:paraId="2337858C">
      <w:pPr>
        <w:keepNext w:val="0"/>
        <w:keepLines w:val="0"/>
        <w:pageBreakBefore w:val="0"/>
        <w:widowControl w:val="0"/>
        <w:kinsoku/>
        <w:wordWrap w:val="0"/>
        <w:overflowPunct/>
        <w:topLinePunct w:val="0"/>
        <w:autoSpaceDE/>
        <w:autoSpaceDN/>
        <w:bidi w:val="0"/>
        <w:adjustRightInd w:val="0"/>
        <w:spacing w:line="440" w:lineRule="exact"/>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须知前附表规定接受联合体投标的，本章第 3.5.1 款至第 3.5.</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 xml:space="preserve"> 款规定的表格和资料应包括联合体各方相关情况。</w:t>
      </w:r>
    </w:p>
    <w:p w14:paraId="3CA54F3F">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3.6 备选投标方案</w:t>
      </w:r>
    </w:p>
    <w:p w14:paraId="1F737229">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3.6.1 除</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须知前附表规定允许外，</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不得递交备选投标方案，否则其投标将被否决。</w:t>
      </w:r>
    </w:p>
    <w:p w14:paraId="0066AA57">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3.6.2 允许</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递交备选投标方案的，只有</w:t>
      </w:r>
      <w:r>
        <w:rPr>
          <w:rFonts w:hint="eastAsia" w:ascii="宋体" w:hAnsi="宋体" w:eastAsia="宋体" w:cs="宋体"/>
          <w:bCs/>
          <w:color w:val="auto"/>
          <w:sz w:val="24"/>
          <w:szCs w:val="24"/>
          <w:highlight w:val="none"/>
          <w:lang w:eastAsia="zh-CN"/>
        </w:rPr>
        <w:t>中标供应商</w:t>
      </w:r>
      <w:r>
        <w:rPr>
          <w:rFonts w:hint="eastAsia" w:ascii="宋体" w:hAnsi="宋体" w:eastAsia="宋体" w:cs="宋体"/>
          <w:bCs/>
          <w:color w:val="auto"/>
          <w:sz w:val="24"/>
          <w:szCs w:val="24"/>
          <w:highlight w:val="none"/>
        </w:rPr>
        <w:t>所递交的备选投标方案方可予以考虑。评标委员会认为</w:t>
      </w:r>
      <w:r>
        <w:rPr>
          <w:rFonts w:hint="eastAsia" w:ascii="宋体" w:hAnsi="宋体" w:eastAsia="宋体" w:cs="宋体"/>
          <w:bCs/>
          <w:color w:val="auto"/>
          <w:sz w:val="24"/>
          <w:szCs w:val="24"/>
          <w:highlight w:val="none"/>
          <w:lang w:eastAsia="zh-CN"/>
        </w:rPr>
        <w:t>中标供应商</w:t>
      </w:r>
      <w:r>
        <w:rPr>
          <w:rFonts w:hint="eastAsia" w:ascii="宋体" w:hAnsi="宋体" w:eastAsia="宋体" w:cs="宋体"/>
          <w:bCs/>
          <w:color w:val="auto"/>
          <w:sz w:val="24"/>
          <w:szCs w:val="24"/>
          <w:highlight w:val="none"/>
        </w:rPr>
        <w:t>的备选投标方案优于其按照招标文件要求编制的投标方案的，采购人可以接受该备选投标方案。</w:t>
      </w:r>
    </w:p>
    <w:p w14:paraId="77423D1C">
      <w:pPr>
        <w:keepNext w:val="0"/>
        <w:keepLines w:val="0"/>
        <w:pageBreakBefore w:val="0"/>
        <w:widowControl w:val="0"/>
        <w:kinsoku/>
        <w:wordWrap w:val="0"/>
        <w:overflowPunct/>
        <w:topLinePunct w:val="0"/>
        <w:autoSpaceDE/>
        <w:autoSpaceDN/>
        <w:bidi w:val="0"/>
        <w:adjustRightInd w:val="0"/>
        <w:spacing w:line="440" w:lineRule="exact"/>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3.6.3 </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提供两个或两个以上投标报价，或者在投标文件中提供一个报价，但同时提供两个或两个以上技术方案的，视为提供备选方案。</w:t>
      </w:r>
    </w:p>
    <w:p w14:paraId="4417960F">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3.7 投标文件的编制</w:t>
      </w:r>
    </w:p>
    <w:p w14:paraId="3CA12DEC">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3.7.1 投标文件应按第六章“投标文件格式”</w:t>
      </w:r>
      <w:r>
        <w:rPr>
          <w:rFonts w:hint="eastAsia" w:ascii="宋体" w:hAnsi="宋体" w:eastAsia="宋体" w:cs="宋体"/>
          <w:bCs/>
          <w:color w:val="auto"/>
          <w:sz w:val="24"/>
          <w:szCs w:val="24"/>
          <w:highlight w:val="none"/>
          <w:lang w:eastAsia="zh-CN"/>
        </w:rPr>
        <w:t>及本章条款要求</w:t>
      </w:r>
      <w:r>
        <w:rPr>
          <w:rFonts w:hint="eastAsia" w:ascii="宋体" w:hAnsi="宋体" w:eastAsia="宋体" w:cs="宋体"/>
          <w:bCs/>
          <w:color w:val="auto"/>
          <w:sz w:val="24"/>
          <w:szCs w:val="24"/>
          <w:highlight w:val="none"/>
        </w:rPr>
        <w:t>进行编写，</w:t>
      </w:r>
      <w:r>
        <w:rPr>
          <w:rFonts w:hint="eastAsia" w:ascii="宋体" w:hAnsi="宋体" w:eastAsia="宋体" w:cs="宋体"/>
          <w:bCs/>
          <w:color w:val="auto"/>
          <w:sz w:val="24"/>
          <w:szCs w:val="24"/>
          <w:highlight w:val="none"/>
          <w:lang w:eastAsia="zh-CN"/>
        </w:rPr>
        <w:t>否则均视为无效投标情形，由此引发的</w:t>
      </w:r>
      <w:r>
        <w:rPr>
          <w:rFonts w:hint="eastAsia" w:ascii="宋体" w:hAnsi="宋体" w:eastAsia="宋体" w:cs="宋体"/>
          <w:bCs/>
          <w:color w:val="auto"/>
          <w:sz w:val="24"/>
          <w:szCs w:val="24"/>
          <w:highlight w:val="none"/>
        </w:rPr>
        <w:t>后果由</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自行负责。如有必要，可以增加附页，作为投标文件的组成部分。其中，商务条款在满足招标文件实质性要求的基础上，可以提出比招标文件要求更有利于采购人的承诺。</w:t>
      </w:r>
    </w:p>
    <w:p w14:paraId="359C68C4">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3.7.2 投标文件应当对招标文件有关供货期、投标有效期、招标范围等实质性内容作出响应。</w:t>
      </w:r>
    </w:p>
    <w:p w14:paraId="5F9DB6F4">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3.7.3（1）投标文件应按招标文件所提供的投标文件格式标准制作，签字或盖章应清晰，易于识别，要求签字盖章处必须签字盖章，严禁代签和仿造行为。电子</w:t>
      </w:r>
      <w:r>
        <w:rPr>
          <w:rFonts w:hint="eastAsia" w:ascii="宋体" w:hAnsi="宋体" w:eastAsia="宋体" w:cs="宋体"/>
          <w:bCs/>
          <w:color w:val="auto"/>
          <w:sz w:val="24"/>
          <w:szCs w:val="24"/>
          <w:highlight w:val="none"/>
          <w:lang w:eastAsia="zh-CN"/>
        </w:rPr>
        <w:t>版</w:t>
      </w:r>
      <w:r>
        <w:rPr>
          <w:rFonts w:hint="eastAsia" w:ascii="宋体" w:hAnsi="宋体" w:eastAsia="宋体" w:cs="宋体"/>
          <w:bCs/>
          <w:color w:val="auto"/>
          <w:sz w:val="24"/>
          <w:szCs w:val="24"/>
          <w:highlight w:val="none"/>
        </w:rPr>
        <w:t>投标文件加盖的公章盖电子印章、</w:t>
      </w:r>
      <w:r>
        <w:rPr>
          <w:rFonts w:hint="eastAsia" w:ascii="宋体" w:hAnsi="宋体" w:eastAsia="宋体" w:cs="宋体"/>
          <w:bCs/>
          <w:color w:val="auto"/>
          <w:sz w:val="24"/>
          <w:szCs w:val="24"/>
          <w:highlight w:val="none"/>
          <w:lang w:eastAsia="zh-CN"/>
        </w:rPr>
        <w:t>法定代表人或</w:t>
      </w:r>
      <w:r>
        <w:rPr>
          <w:rFonts w:hint="eastAsia" w:ascii="宋体" w:hAnsi="宋体" w:eastAsia="宋体" w:cs="宋体"/>
          <w:bCs/>
          <w:color w:val="auto"/>
          <w:sz w:val="24"/>
          <w:szCs w:val="24"/>
          <w:highlight w:val="none"/>
        </w:rPr>
        <w:t>委托代理人</w:t>
      </w:r>
      <w:r>
        <w:rPr>
          <w:rFonts w:hint="eastAsia" w:ascii="宋体" w:hAnsi="宋体" w:eastAsia="宋体" w:cs="宋体"/>
          <w:bCs/>
          <w:color w:val="auto"/>
          <w:sz w:val="24"/>
          <w:szCs w:val="24"/>
          <w:highlight w:val="none"/>
          <w:lang w:eastAsia="zh-CN"/>
        </w:rPr>
        <w:t>手写签字</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纸质版投标文件必须使用从投标文件制作工具中生成的投标文件（打印版）进行单面打印</w:t>
      </w:r>
      <w:r>
        <w:rPr>
          <w:rFonts w:hint="eastAsia" w:ascii="宋体" w:hAnsi="宋体" w:eastAsia="宋体" w:cs="宋体"/>
          <w:bCs/>
          <w:color w:val="auto"/>
          <w:sz w:val="24"/>
          <w:szCs w:val="24"/>
          <w:highlight w:val="none"/>
          <w:lang w:eastAsia="zh-CN"/>
        </w:rPr>
        <w:t>并</w:t>
      </w:r>
      <w:r>
        <w:rPr>
          <w:rFonts w:hint="eastAsia" w:ascii="宋体" w:hAnsi="宋体" w:eastAsia="宋体" w:cs="宋体"/>
          <w:bCs/>
          <w:color w:val="auto"/>
          <w:sz w:val="24"/>
          <w:szCs w:val="24"/>
          <w:highlight w:val="none"/>
        </w:rPr>
        <w:t>加盖公章鲜章</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签字必须由</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的法定代表人或委托代理人亲笔手写签字（包括姓和名），</w:t>
      </w:r>
      <w:r>
        <w:rPr>
          <w:rFonts w:hint="eastAsia" w:ascii="宋体" w:hAnsi="宋体" w:eastAsia="宋体" w:cs="宋体"/>
          <w:bCs/>
          <w:color w:val="auto"/>
          <w:sz w:val="24"/>
          <w:szCs w:val="24"/>
          <w:highlight w:val="none"/>
          <w:lang w:eastAsia="zh-CN"/>
        </w:rPr>
        <w:t>签字处</w:t>
      </w:r>
      <w:r>
        <w:rPr>
          <w:rFonts w:hint="eastAsia" w:ascii="宋体" w:hAnsi="宋体" w:eastAsia="宋体" w:cs="宋体"/>
          <w:bCs/>
          <w:color w:val="auto"/>
          <w:sz w:val="24"/>
          <w:szCs w:val="24"/>
          <w:highlight w:val="none"/>
        </w:rPr>
        <w:t>不得</w:t>
      </w:r>
      <w:r>
        <w:rPr>
          <w:rFonts w:hint="eastAsia" w:ascii="宋体" w:hAnsi="宋体" w:eastAsia="宋体" w:cs="宋体"/>
          <w:bCs/>
          <w:color w:val="auto"/>
          <w:sz w:val="24"/>
          <w:szCs w:val="24"/>
          <w:highlight w:val="none"/>
          <w:lang w:eastAsia="zh-CN"/>
        </w:rPr>
        <w:t>使</w:t>
      </w:r>
      <w:r>
        <w:rPr>
          <w:rFonts w:hint="eastAsia" w:ascii="宋体" w:hAnsi="宋体" w:eastAsia="宋体" w:cs="宋体"/>
          <w:bCs/>
          <w:color w:val="auto"/>
          <w:sz w:val="24"/>
          <w:szCs w:val="24"/>
          <w:highlight w:val="none"/>
        </w:rPr>
        <w:t>用</w:t>
      </w:r>
      <w:r>
        <w:rPr>
          <w:rFonts w:hint="eastAsia" w:ascii="宋体" w:hAnsi="宋体" w:eastAsia="宋体" w:cs="宋体"/>
          <w:bCs/>
          <w:color w:val="auto"/>
          <w:sz w:val="24"/>
          <w:szCs w:val="24"/>
          <w:highlight w:val="none"/>
          <w:lang w:eastAsia="zh-CN"/>
        </w:rPr>
        <w:t>印</w:t>
      </w:r>
      <w:r>
        <w:rPr>
          <w:rFonts w:hint="eastAsia" w:ascii="宋体" w:hAnsi="宋体" w:eastAsia="宋体" w:cs="宋体"/>
          <w:bCs/>
          <w:color w:val="auto"/>
          <w:sz w:val="24"/>
          <w:szCs w:val="24"/>
          <w:highlight w:val="none"/>
        </w:rPr>
        <w:t>章（如签名章、签字章等）代替</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也不得由他人代签，由委托代理人签字的，投标文件应附法定代表人签署的授权委托书。投标文件应尽量避免涂改、行间插字或删除。如果出现上述情况，改动之处应加盖公章并由</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的法定代表人或委托代理人签字确认。</w:t>
      </w:r>
    </w:p>
    <w:p w14:paraId="21775F0E">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（2）纸质版投标文件应用不褪色的材料书写或打印，正本必须彩色打印并加盖</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公章鲜章，副本可以是正本的复印件，但应加盖骑页公章，并在封面标明“正本”、“副本”字样，当正本与副本内容不一致时，以正本为准。投标文件因内容不全或关键字迹模糊、无法辨认、字迹潦草或表达不清引起的后果，由</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自行负责。</w:t>
      </w:r>
    </w:p>
    <w:p w14:paraId="660042A1">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（3）纸质版投标文件的装订要整齐、牢固、采用左侧纵向无线胶订机胶订，</w:t>
      </w:r>
      <w:r>
        <w:rPr>
          <w:rFonts w:hint="eastAsia" w:ascii="宋体" w:hAnsi="宋体" w:eastAsia="宋体" w:cs="宋体"/>
          <w:bCs/>
          <w:color w:val="auto"/>
          <w:sz w:val="24"/>
          <w:szCs w:val="24"/>
          <w:highlight w:val="none"/>
          <w:lang w:eastAsia="zh-CN"/>
        </w:rPr>
        <w:t>自行</w:t>
      </w:r>
      <w:r>
        <w:rPr>
          <w:rFonts w:hint="eastAsia" w:ascii="宋体" w:hAnsi="宋体" w:eastAsia="宋体" w:cs="宋体"/>
          <w:bCs/>
          <w:color w:val="auto"/>
          <w:sz w:val="24"/>
          <w:szCs w:val="24"/>
          <w:highlight w:val="none"/>
        </w:rPr>
        <w:t>编制目录</w:t>
      </w:r>
      <w:r>
        <w:rPr>
          <w:rFonts w:hint="eastAsia" w:ascii="宋体" w:hAnsi="宋体" w:eastAsia="宋体" w:cs="宋体"/>
          <w:bCs/>
          <w:color w:val="auto"/>
          <w:sz w:val="24"/>
          <w:szCs w:val="24"/>
          <w:highlight w:val="none"/>
          <w:lang w:eastAsia="zh-CN"/>
        </w:rPr>
        <w:t>（对应</w:t>
      </w:r>
      <w:r>
        <w:rPr>
          <w:rFonts w:hint="eastAsia" w:ascii="宋体" w:hAnsi="宋体" w:eastAsia="宋体" w:cs="宋体"/>
          <w:bCs/>
          <w:color w:val="auto"/>
          <w:sz w:val="24"/>
          <w:szCs w:val="24"/>
          <w:highlight w:val="none"/>
        </w:rPr>
        <w:t>页码</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，使用标准的宋体字、A4纸打印胶装装订成册，投标文件需分册装订的，具体要求见</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须知前附表规定。</w:t>
      </w:r>
    </w:p>
    <w:p w14:paraId="2F3F07D8">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zh-CN"/>
        </w:rPr>
        <w:t>投标文件的补充递交，具体要求见供应商须知前附表规定。</w:t>
      </w:r>
    </w:p>
    <w:p w14:paraId="296A268C">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4.投标</w:t>
      </w:r>
    </w:p>
    <w:p w14:paraId="7998534C">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
          <w:bCs/>
          <w:color w:val="auto"/>
          <w:sz w:val="24"/>
          <w:szCs w:val="24"/>
          <w:highlight w:val="none"/>
          <w:lang w:val="zh-CN"/>
        </w:rPr>
      </w:pPr>
      <w:bookmarkStart w:id="7" w:name="_Toc30156082"/>
      <w:bookmarkStart w:id="8" w:name="_Toc201719090"/>
      <w:bookmarkStart w:id="9" w:name="_Toc10534"/>
      <w:bookmarkStart w:id="10" w:name="_Toc28681"/>
      <w:r>
        <w:rPr>
          <w:rFonts w:hint="eastAsia" w:ascii="宋体" w:hAnsi="宋体" w:eastAsia="宋体" w:cs="宋体"/>
          <w:b/>
          <w:bCs/>
          <w:color w:val="auto"/>
          <w:sz w:val="24"/>
          <w:szCs w:val="24"/>
          <w:highlight w:val="none"/>
          <w:lang w:val="zh-CN"/>
        </w:rPr>
        <w:t xml:space="preserve">4.1 </w:t>
      </w:r>
      <w:bookmarkEnd w:id="7"/>
      <w:bookmarkEnd w:id="8"/>
      <w:r>
        <w:rPr>
          <w:rFonts w:hint="eastAsia" w:ascii="宋体" w:hAnsi="宋体" w:eastAsia="宋体" w:cs="宋体"/>
          <w:b/>
          <w:bCs/>
          <w:color w:val="auto"/>
          <w:sz w:val="24"/>
          <w:szCs w:val="24"/>
          <w:highlight w:val="none"/>
          <w:lang w:val="zh-CN"/>
        </w:rPr>
        <w:t>投标文件的保密</w:t>
      </w:r>
      <w:bookmarkEnd w:id="9"/>
      <w:bookmarkEnd w:id="10"/>
    </w:p>
    <w:p w14:paraId="0BEDEC2F">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投标文件应独立制作，包封按招标文件</w:t>
      </w:r>
      <w:r>
        <w:rPr>
          <w:rFonts w:hint="eastAsia" w:ascii="宋体" w:hAnsi="宋体" w:eastAsia="宋体" w:cs="宋体"/>
          <w:color w:val="auto"/>
          <w:sz w:val="24"/>
          <w:szCs w:val="24"/>
          <w:highlight w:val="none"/>
          <w:lang w:val="zh-CN" w:eastAsia="zh-CN"/>
        </w:rPr>
        <w:t>要求进行密封</w:t>
      </w:r>
      <w:r>
        <w:rPr>
          <w:rFonts w:hint="eastAsia" w:ascii="宋体" w:hAnsi="宋体" w:eastAsia="宋体" w:cs="宋体"/>
          <w:color w:val="auto"/>
          <w:sz w:val="24"/>
          <w:szCs w:val="24"/>
          <w:highlight w:val="none"/>
          <w:lang w:val="zh-CN"/>
        </w:rPr>
        <w:t>，并在封套的封口处加盖投标供应商公章</w:t>
      </w:r>
      <w:r>
        <w:rPr>
          <w:rFonts w:hint="eastAsia" w:ascii="宋体" w:hAnsi="宋体" w:eastAsia="宋体" w:cs="宋体"/>
          <w:color w:val="auto"/>
          <w:sz w:val="24"/>
          <w:szCs w:val="24"/>
          <w:highlight w:val="none"/>
          <w:lang w:val="zh-CN" w:eastAsia="zh-CN"/>
        </w:rPr>
        <w:t>、法人章及法定代表人手书签字，包封格式详见附件</w:t>
      </w:r>
      <w:r>
        <w:rPr>
          <w:rFonts w:hint="eastAsia" w:ascii="宋体" w:hAnsi="宋体" w:eastAsia="宋体" w:cs="宋体"/>
          <w:color w:val="auto"/>
          <w:sz w:val="24"/>
          <w:szCs w:val="24"/>
          <w:highlight w:val="none"/>
          <w:lang w:val="zh-CN"/>
        </w:rPr>
        <w:t>。</w:t>
      </w:r>
    </w:p>
    <w:p w14:paraId="7A11D8CE">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
          <w:bCs/>
          <w:color w:val="auto"/>
          <w:sz w:val="24"/>
          <w:szCs w:val="24"/>
          <w:highlight w:val="none"/>
          <w:lang w:val="zh-CN"/>
        </w:rPr>
      </w:pPr>
      <w:bookmarkStart w:id="11" w:name="_Toc10334"/>
      <w:bookmarkStart w:id="12" w:name="_Toc31814"/>
      <w:r>
        <w:rPr>
          <w:rFonts w:hint="eastAsia" w:ascii="宋体" w:hAnsi="宋体" w:eastAsia="宋体" w:cs="宋体"/>
          <w:b/>
          <w:bCs/>
          <w:color w:val="auto"/>
          <w:sz w:val="24"/>
          <w:szCs w:val="24"/>
          <w:highlight w:val="none"/>
          <w:lang w:val="zh-CN"/>
        </w:rPr>
        <w:t>4.2 投标文件的递交</w:t>
      </w:r>
      <w:bookmarkEnd w:id="11"/>
      <w:bookmarkEnd w:id="12"/>
    </w:p>
    <w:p w14:paraId="57502523">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4.2.1 供应商应在供应商须知前附表规定的供应商上传提交投标文件的截止时间(开标时间）前递交投标文件。</w:t>
      </w:r>
    </w:p>
    <w:p w14:paraId="7A6BE710">
      <w:pPr>
        <w:keepNext w:val="0"/>
        <w:keepLines w:val="0"/>
        <w:pageBreakBefore w:val="0"/>
        <w:widowControl w:val="0"/>
        <w:kinsoku/>
        <w:wordWrap w:val="0"/>
        <w:overflowPunct/>
        <w:topLinePunct w:val="0"/>
        <w:autoSpaceDE/>
        <w:autoSpaceDN/>
        <w:bidi w:val="0"/>
        <w:adjustRightInd w:val="0"/>
        <w:spacing w:line="440" w:lineRule="exact"/>
        <w:ind w:firstLine="48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4.2.2 供应商上传提交投标文件的平台：见供应商须知前附表。</w:t>
      </w:r>
    </w:p>
    <w:p w14:paraId="7D5380EE">
      <w:pPr>
        <w:keepNext w:val="0"/>
        <w:keepLines w:val="0"/>
        <w:pageBreakBefore w:val="0"/>
        <w:widowControl w:val="0"/>
        <w:kinsoku/>
        <w:wordWrap w:val="0"/>
        <w:overflowPunct/>
        <w:topLinePunct w:val="0"/>
        <w:autoSpaceDE/>
        <w:autoSpaceDN/>
        <w:bidi w:val="0"/>
        <w:adjustRightInd w:val="0"/>
        <w:spacing w:line="440" w:lineRule="exact"/>
        <w:ind w:firstLine="48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4.2.3 除供应商须知前附表另有规定外，供应商所递交的投标文件不予退还。</w:t>
      </w:r>
    </w:p>
    <w:p w14:paraId="6DFF1CF5">
      <w:pPr>
        <w:keepNext w:val="0"/>
        <w:keepLines w:val="0"/>
        <w:pageBreakBefore w:val="0"/>
        <w:widowControl w:val="0"/>
        <w:kinsoku/>
        <w:wordWrap w:val="0"/>
        <w:overflowPunct/>
        <w:topLinePunct w:val="0"/>
        <w:autoSpaceDE/>
        <w:autoSpaceDN/>
        <w:bidi w:val="0"/>
        <w:adjustRightInd w:val="0"/>
        <w:spacing w:line="440" w:lineRule="exact"/>
        <w:ind w:firstLine="48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4.2.</w:t>
      </w:r>
      <w:r>
        <w:rPr>
          <w:rFonts w:hint="eastAsia" w:ascii="宋体" w:hAnsi="宋体" w:eastAsia="宋体" w:cs="宋体"/>
          <w:bCs/>
          <w:color w:val="auto"/>
          <w:sz w:val="24"/>
          <w:highlight w:val="none"/>
        </w:rPr>
        <w:t>4</w:t>
      </w:r>
      <w:r>
        <w:rPr>
          <w:rFonts w:hint="eastAsia" w:ascii="宋体" w:hAnsi="宋体" w:eastAsia="宋体" w:cs="宋体"/>
          <w:bCs/>
          <w:color w:val="auto"/>
          <w:sz w:val="24"/>
          <w:highlight w:val="none"/>
          <w:lang w:val="zh-CN"/>
        </w:rPr>
        <w:t xml:space="preserve"> 首次招标投标截止时间结束后供应商不足三家的，将重新招标；重新招标仍出现本款前述情形的，可按本须知正文第11款的规定办理。</w:t>
      </w:r>
    </w:p>
    <w:p w14:paraId="276248D7">
      <w:pPr>
        <w:keepNext w:val="0"/>
        <w:keepLines w:val="0"/>
        <w:pageBreakBefore w:val="0"/>
        <w:widowControl w:val="0"/>
        <w:kinsoku/>
        <w:wordWrap w:val="0"/>
        <w:overflowPunct/>
        <w:topLinePunct w:val="0"/>
        <w:autoSpaceDE/>
        <w:autoSpaceDN/>
        <w:bidi w:val="0"/>
        <w:adjustRightInd w:val="0"/>
        <w:spacing w:line="440" w:lineRule="exact"/>
        <w:ind w:firstLine="48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4.2.</w:t>
      </w:r>
      <w:r>
        <w:rPr>
          <w:rFonts w:hint="eastAsia" w:ascii="宋体" w:hAnsi="宋体" w:eastAsia="宋体" w:cs="宋体"/>
          <w:bCs/>
          <w:color w:val="auto"/>
          <w:sz w:val="24"/>
          <w:highlight w:val="none"/>
        </w:rPr>
        <w:t>5</w:t>
      </w:r>
      <w:r>
        <w:rPr>
          <w:rFonts w:hint="eastAsia" w:ascii="宋体" w:hAnsi="宋体" w:eastAsia="宋体" w:cs="宋体"/>
          <w:bCs/>
          <w:color w:val="auto"/>
          <w:sz w:val="24"/>
          <w:highlight w:val="none"/>
          <w:lang w:val="zh-CN"/>
        </w:rPr>
        <w:t xml:space="preserve"> 采购人在任何时候发现供应商提交的投标文件内容有下列情形之一时，将给予废标、解除合同及赔偿损失，同时有权依法追究供应商的责任：</w:t>
      </w:r>
    </w:p>
    <w:p w14:paraId="037AA988">
      <w:pPr>
        <w:keepNext w:val="0"/>
        <w:keepLines w:val="0"/>
        <w:pageBreakBefore w:val="0"/>
        <w:widowControl w:val="0"/>
        <w:kinsoku/>
        <w:wordWrap w:val="0"/>
        <w:overflowPunct/>
        <w:topLinePunct w:val="0"/>
        <w:autoSpaceDE/>
        <w:autoSpaceDN/>
        <w:bidi w:val="0"/>
        <w:adjustRightInd w:val="0"/>
        <w:spacing w:line="440" w:lineRule="exact"/>
        <w:ind w:firstLine="48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（1）虚假的资料。</w:t>
      </w:r>
    </w:p>
    <w:p w14:paraId="60ADE788">
      <w:pPr>
        <w:keepNext w:val="0"/>
        <w:keepLines w:val="0"/>
        <w:pageBreakBefore w:val="0"/>
        <w:widowControl w:val="0"/>
        <w:kinsoku/>
        <w:wordWrap w:val="0"/>
        <w:overflowPunct/>
        <w:topLinePunct w:val="0"/>
        <w:autoSpaceDE/>
        <w:autoSpaceDN/>
        <w:bidi w:val="0"/>
        <w:adjustRightInd w:val="0"/>
        <w:spacing w:line="440" w:lineRule="exact"/>
        <w:ind w:firstLine="48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（2）在实质性方面失实。</w:t>
      </w:r>
    </w:p>
    <w:p w14:paraId="103F1CC7">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5.开标</w:t>
      </w:r>
    </w:p>
    <w:p w14:paraId="2BAC70D0">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5.1</w:t>
      </w:r>
      <w:r>
        <w:rPr>
          <w:rFonts w:hint="eastAsia" w:ascii="宋体" w:hAnsi="宋体" w:eastAsia="宋体" w:cs="宋体"/>
          <w:b/>
          <w:bCs/>
          <w:color w:val="auto"/>
          <w:sz w:val="24"/>
          <w:szCs w:val="24"/>
          <w:highlight w:val="none"/>
        </w:rPr>
        <w:t>开标时间</w:t>
      </w:r>
      <w:r>
        <w:rPr>
          <w:rFonts w:hint="eastAsia" w:ascii="宋体" w:hAnsi="宋体" w:eastAsia="宋体" w:cs="宋体"/>
          <w:b/>
          <w:bCs/>
          <w:color w:val="auto"/>
          <w:sz w:val="24"/>
          <w:szCs w:val="24"/>
          <w:highlight w:val="none"/>
          <w:lang w:val="zh-CN"/>
        </w:rPr>
        <w:t>和地点</w:t>
      </w:r>
    </w:p>
    <w:p w14:paraId="73514C01">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采购人在本章第4.</w:t>
      </w:r>
      <w:r>
        <w:rPr>
          <w:rFonts w:hint="eastAsia" w:ascii="宋体" w:hAnsi="宋体" w:eastAsia="宋体" w:cs="宋体"/>
          <w:bCs/>
          <w:color w:val="auto"/>
          <w:sz w:val="24"/>
          <w:highlight w:val="none"/>
        </w:rPr>
        <w:t>2.1</w:t>
      </w:r>
      <w:r>
        <w:rPr>
          <w:rFonts w:hint="eastAsia" w:ascii="宋体" w:hAnsi="宋体" w:eastAsia="宋体" w:cs="宋体"/>
          <w:bCs/>
          <w:color w:val="auto"/>
          <w:sz w:val="24"/>
          <w:highlight w:val="none"/>
          <w:lang w:val="zh-CN"/>
        </w:rPr>
        <w:t>项规定的供应商上传提交投标文件的截止时间(开标时间）和供应商须知前附表规定的网址、地点公开开标。所有供应商的法定代表人或其委托代理人准时参加电子开标会。</w:t>
      </w:r>
    </w:p>
    <w:p w14:paraId="194AC458">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5.2 开标程序</w:t>
      </w:r>
    </w:p>
    <w:p w14:paraId="4C73627C">
      <w:pPr>
        <w:keepNext w:val="0"/>
        <w:keepLines w:val="0"/>
        <w:pageBreakBefore w:val="0"/>
        <w:widowControl w:val="0"/>
        <w:tabs>
          <w:tab w:val="left" w:pos="760"/>
        </w:tabs>
        <w:kinsoku/>
        <w:wordWrap w:val="0"/>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开标由采购人或者采购代理机构主持</w:t>
      </w:r>
      <w:r>
        <w:rPr>
          <w:rFonts w:hint="eastAsia" w:ascii="宋体" w:hAnsi="宋体" w:eastAsia="宋体" w:cs="宋体"/>
          <w:bCs/>
          <w:color w:val="auto"/>
          <w:sz w:val="24"/>
          <w:szCs w:val="24"/>
          <w:highlight w:val="none"/>
          <w:lang w:val="zh-CN"/>
        </w:rPr>
        <w:t>。开标时未宣读的投标价格等实质性内容，评标时不予承认。</w:t>
      </w:r>
    </w:p>
    <w:p w14:paraId="7D1B1D12">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主持人按下列程序进行开标：</w:t>
      </w:r>
    </w:p>
    <w:p w14:paraId="1734E228">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（1）宣布开标纪律；</w:t>
      </w:r>
    </w:p>
    <w:p w14:paraId="014EA482">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（2）查看并公布投标报名名单；</w:t>
      </w:r>
    </w:p>
    <w:p w14:paraId="4E0EC0C2">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（3）宣布开标人、唱标人、监标人等有关人员；</w:t>
      </w:r>
    </w:p>
    <w:p w14:paraId="10FA310A">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4）采购人或者采购代理机构将按照供应商电子投标文件解密后的开标记录，当众宣读供应商名称、修改和撤回投标的通知、投标价格、交货时间、是否提交了投标保证金等内容；并在开标后由供应商代表、采购人或者监督人员签字确认。</w:t>
      </w:r>
    </w:p>
    <w:p w14:paraId="181138EB">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Cs/>
          <w:color w:val="auto"/>
          <w:sz w:val="24"/>
          <w:szCs w:val="24"/>
          <w:highlight w:val="none"/>
          <w:lang w:val="zh-CN"/>
        </w:rPr>
        <w:t>（5）开标结束。</w:t>
      </w:r>
    </w:p>
    <w:p w14:paraId="03B9EA89">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5.3 开标质疑</w:t>
      </w:r>
    </w:p>
    <w:p w14:paraId="2C75436F">
      <w:pPr>
        <w:keepNext w:val="0"/>
        <w:keepLines w:val="0"/>
        <w:pageBreakBefore w:val="0"/>
        <w:widowControl w:val="0"/>
        <w:kinsoku/>
        <w:wordWrap w:val="0"/>
        <w:overflowPunct/>
        <w:topLinePunct w:val="0"/>
        <w:autoSpaceDE/>
        <w:autoSpaceDN/>
        <w:bidi w:val="0"/>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代表对开标过程和开标记录有异议，以及认为采购人、采购代理机构相关工作人员有需要回避的情形的，应当场提出询问或者回避申请。采购人、采购代理机构对</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代表提出的询问或者回避申请应当及时处理，如当场未提出，过后不予受理。</w:t>
      </w:r>
    </w:p>
    <w:p w14:paraId="6BFF78BB">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zh-CN"/>
        </w:rPr>
        <w:t>5.4、供应商</w:t>
      </w:r>
      <w:r>
        <w:rPr>
          <w:rFonts w:hint="eastAsia" w:ascii="宋体" w:hAnsi="宋体" w:eastAsia="宋体" w:cs="宋体"/>
          <w:b/>
          <w:bCs/>
          <w:color w:val="auto"/>
          <w:sz w:val="24"/>
          <w:szCs w:val="24"/>
          <w:highlight w:val="none"/>
        </w:rPr>
        <w:t>存在下列情况之一的，投标无效:</w:t>
      </w:r>
    </w:p>
    <w:p w14:paraId="11E04C2A">
      <w:pPr>
        <w:keepNext w:val="0"/>
        <w:keepLines w:val="0"/>
        <w:pageBreakBefore w:val="0"/>
        <w:widowControl w:val="0"/>
        <w:kinsoku/>
        <w:wordWrap w:val="0"/>
        <w:overflowPunct/>
        <w:topLinePunct w:val="0"/>
        <w:autoSpaceDE/>
        <w:autoSpaceDN/>
        <w:bidi w:val="0"/>
        <w:adjustRightInd w:val="0"/>
        <w:spacing w:line="44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（1）投标文件在规定的投标截止时间以后未上传的；</w:t>
      </w:r>
    </w:p>
    <w:p w14:paraId="05D86646">
      <w:pPr>
        <w:keepNext w:val="0"/>
        <w:keepLines w:val="0"/>
        <w:pageBreakBefore w:val="0"/>
        <w:widowControl w:val="0"/>
        <w:kinsoku/>
        <w:wordWrap w:val="0"/>
        <w:overflowPunct/>
        <w:topLinePunct w:val="0"/>
        <w:autoSpaceDE/>
        <w:autoSpaceDN/>
        <w:bidi w:val="0"/>
        <w:adjustRightInd w:val="0"/>
        <w:spacing w:line="44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（2）未按招标文件的规定提交投标保证金的；</w:t>
      </w:r>
    </w:p>
    <w:p w14:paraId="6CCE5031">
      <w:pPr>
        <w:keepNext w:val="0"/>
        <w:keepLines w:val="0"/>
        <w:pageBreakBefore w:val="0"/>
        <w:widowControl w:val="0"/>
        <w:kinsoku/>
        <w:wordWrap w:val="0"/>
        <w:overflowPunct/>
        <w:topLinePunct w:val="0"/>
        <w:autoSpaceDE/>
        <w:autoSpaceDN/>
        <w:bidi w:val="0"/>
        <w:adjustRightInd w:val="0"/>
        <w:spacing w:line="44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（3）上传的</w:t>
      </w:r>
      <w:r>
        <w:rPr>
          <w:rFonts w:hint="eastAsia" w:ascii="宋体" w:hAnsi="宋体" w:eastAsia="宋体" w:cs="宋体"/>
          <w:color w:val="auto"/>
          <w:sz w:val="24"/>
          <w:szCs w:val="24"/>
          <w:highlight w:val="none"/>
        </w:rPr>
        <w:t>投标文件未按招标文件要求签署、盖章</w:t>
      </w:r>
      <w:r>
        <w:rPr>
          <w:rFonts w:hint="eastAsia" w:ascii="宋体" w:hAnsi="宋体" w:eastAsia="宋体" w:cs="宋体"/>
          <w:color w:val="auto"/>
          <w:sz w:val="24"/>
          <w:szCs w:val="24"/>
          <w:highlight w:val="none"/>
          <w:lang w:val="zh-CN"/>
        </w:rPr>
        <w:t>的；</w:t>
      </w:r>
    </w:p>
    <w:p w14:paraId="60DE18F2">
      <w:pPr>
        <w:pStyle w:val="8"/>
        <w:keepNext w:val="0"/>
        <w:keepLines w:val="0"/>
        <w:pageBreakBefore w:val="0"/>
        <w:widowControl w:val="0"/>
        <w:kinsoku/>
        <w:wordWrap w:val="0"/>
        <w:overflowPunct/>
        <w:topLinePunct w:val="0"/>
        <w:autoSpaceDE/>
        <w:autoSpaceDN/>
        <w:bidi w:val="0"/>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）上传的投标文件签署、盖章不一致的情形；</w:t>
      </w:r>
    </w:p>
    <w:p w14:paraId="2604174C">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）供应商所提交的投标文件无效、缺失或者不符合招标文件的规定；</w:t>
      </w:r>
    </w:p>
    <w:p w14:paraId="2B4461B1">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不具备招标文件中规定的资格要求的；</w:t>
      </w:r>
    </w:p>
    <w:p w14:paraId="32AF949B">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）未实质性响应招标文件要求的其他情形；</w:t>
      </w:r>
    </w:p>
    <w:p w14:paraId="1A2FFDD9">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报价超过招标文件中规定的预算金额或者最高限价的；</w:t>
      </w:r>
    </w:p>
    <w:p w14:paraId="7BAADE77">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（9）投标文件含有采购人不能接受的附加条件的；</w:t>
      </w:r>
    </w:p>
    <w:p w14:paraId="72BD6E07">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（10）法律、法规和招标文件规定的其他无效情形。</w:t>
      </w:r>
    </w:p>
    <w:p w14:paraId="4C3A52EF">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存在以上任何一种情况，相关</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的投标无效，做废标处理。</w:t>
      </w:r>
    </w:p>
    <w:p w14:paraId="008D33D8">
      <w:pPr>
        <w:keepNext w:val="0"/>
        <w:keepLines w:val="0"/>
        <w:pageBreakBefore w:val="0"/>
        <w:widowControl w:val="0"/>
        <w:kinsoku/>
        <w:wordWrap w:val="0"/>
        <w:overflowPunct/>
        <w:topLinePunct w:val="0"/>
        <w:autoSpaceDE/>
        <w:autoSpaceDN/>
        <w:bidi w:val="0"/>
        <w:adjustRightInd w:val="0"/>
        <w:spacing w:line="440" w:lineRule="exact"/>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5.5、开标时有下列情形之一的，采购人有权宣布本项目废标：</w:t>
      </w:r>
    </w:p>
    <w:p w14:paraId="2BB73CCE">
      <w:pPr>
        <w:keepNext w:val="0"/>
        <w:keepLines w:val="0"/>
        <w:pageBreakBefore w:val="0"/>
        <w:widowControl w:val="0"/>
        <w:kinsoku/>
        <w:wordWrap w:val="0"/>
        <w:overflowPunct/>
        <w:topLinePunct w:val="0"/>
        <w:autoSpaceDE/>
        <w:autoSpaceDN/>
        <w:bidi w:val="0"/>
        <w:adjustRightInd w:val="0"/>
        <w:spacing w:line="44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（1）交货时间符合招标文件要求的供应商不足三家的；</w:t>
      </w:r>
    </w:p>
    <w:p w14:paraId="7C09BA07">
      <w:pPr>
        <w:keepNext w:val="0"/>
        <w:keepLines w:val="0"/>
        <w:pageBreakBefore w:val="0"/>
        <w:widowControl w:val="0"/>
        <w:kinsoku/>
        <w:wordWrap w:val="0"/>
        <w:overflowPunct/>
        <w:topLinePunct w:val="0"/>
        <w:autoSpaceDE/>
        <w:autoSpaceDN/>
        <w:bidi w:val="0"/>
        <w:adjustRightInd w:val="0"/>
        <w:spacing w:line="44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（2）所有供应商的报价均超过采购项目预算，采购人不能支付的。</w:t>
      </w:r>
    </w:p>
    <w:p w14:paraId="6351D715">
      <w:pPr>
        <w:keepNext w:val="0"/>
        <w:keepLines w:val="0"/>
        <w:pageBreakBefore w:val="0"/>
        <w:widowControl w:val="0"/>
        <w:kinsoku/>
        <w:wordWrap w:val="0"/>
        <w:overflowPunct/>
        <w:topLinePunct w:val="0"/>
        <w:autoSpaceDE/>
        <w:autoSpaceDN/>
        <w:bidi w:val="0"/>
        <w:adjustRightInd w:val="0"/>
        <w:spacing w:line="44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首次招标废标后将重新招标，重新招标仍出现本款情形的，可按本须知第11款的规定处理。</w:t>
      </w:r>
    </w:p>
    <w:p w14:paraId="6760EC8F">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6.评标</w:t>
      </w:r>
    </w:p>
    <w:p w14:paraId="7EC3988D">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6.1 评标委员会</w:t>
      </w:r>
    </w:p>
    <w:p w14:paraId="5C5C2692">
      <w:pPr>
        <w:keepNext w:val="0"/>
        <w:keepLines w:val="0"/>
        <w:pageBreakBefore w:val="0"/>
        <w:widowControl w:val="0"/>
        <w:tabs>
          <w:tab w:val="left" w:pos="760"/>
        </w:tabs>
        <w:kinsoku/>
        <w:wordWrap w:val="0"/>
        <w:overflowPunct/>
        <w:topLinePunct w:val="0"/>
        <w:autoSpaceDE/>
        <w:autoSpaceDN/>
        <w:bidi w:val="0"/>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t>6.1.1 评标由采购人依法组建的评标委员会负责。评标委员会由采购人或其委托的采购代理机构熟悉相关业务的代表，以及有关技术、经济等方面的专家组成。评标委员会成员人数以及技术、经济等方面专家的确定方式见供应商须知前附表。</w:t>
      </w:r>
      <w:r>
        <w:rPr>
          <w:rFonts w:hint="eastAsia" w:ascii="宋体" w:hAnsi="宋体" w:eastAsia="宋体" w:cs="宋体"/>
          <w:color w:val="auto"/>
          <w:sz w:val="24"/>
          <w:szCs w:val="24"/>
          <w:highlight w:val="none"/>
          <w:lang w:val="zh-CN"/>
        </w:rPr>
        <w:t>需要设立评标委员会主任的，评标委员会主任由专家担任，由评标委员会成员选举产生，负责主持具体评标工作。评标委员会根据有关法律法规和招标文件规定的评标方法和标准，</w:t>
      </w:r>
      <w:r>
        <w:rPr>
          <w:rFonts w:hint="eastAsia" w:ascii="宋体" w:hAnsi="宋体" w:eastAsia="宋体" w:cs="宋体"/>
          <w:color w:val="auto"/>
          <w:sz w:val="24"/>
          <w:szCs w:val="24"/>
          <w:highlight w:val="none"/>
        </w:rPr>
        <w:t>对符合性审查合格的投标文件进行商务和技术评估，综合比较与评价</w:t>
      </w:r>
      <w:r>
        <w:rPr>
          <w:rFonts w:hint="eastAsia" w:ascii="宋体" w:hAnsi="宋体" w:eastAsia="宋体" w:cs="宋体"/>
          <w:color w:val="auto"/>
          <w:sz w:val="24"/>
          <w:szCs w:val="24"/>
          <w:highlight w:val="none"/>
          <w:lang w:val="zh-CN"/>
        </w:rPr>
        <w:t>，负责完成评标的全过程直至评定预中标供应商。</w:t>
      </w:r>
    </w:p>
    <w:p w14:paraId="1EEDE295">
      <w:pPr>
        <w:keepNext w:val="0"/>
        <w:keepLines w:val="0"/>
        <w:pageBreakBefore w:val="0"/>
        <w:widowControl w:val="0"/>
        <w:tabs>
          <w:tab w:val="left" w:pos="760"/>
        </w:tabs>
        <w:kinsoku/>
        <w:wordWrap w:val="0"/>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6.1.2 评标委员会成员有下列情形之一的，应当回避：</w:t>
      </w:r>
    </w:p>
    <w:p w14:paraId="6CA35FE6">
      <w:pPr>
        <w:keepNext w:val="0"/>
        <w:keepLines w:val="0"/>
        <w:pageBreakBefore w:val="0"/>
        <w:widowControl w:val="0"/>
        <w:tabs>
          <w:tab w:val="left" w:pos="760"/>
        </w:tabs>
        <w:kinsoku/>
        <w:wordWrap w:val="0"/>
        <w:overflowPunct/>
        <w:topLinePunct w:val="0"/>
        <w:autoSpaceDE/>
        <w:autoSpaceDN/>
        <w:bidi w:val="0"/>
        <w:spacing w:line="440" w:lineRule="exact"/>
        <w:ind w:firstLine="360" w:firstLineChars="15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（1）供应商或供应商主要负责人的近亲属；</w:t>
      </w:r>
    </w:p>
    <w:p w14:paraId="6E001FD9">
      <w:pPr>
        <w:keepNext w:val="0"/>
        <w:keepLines w:val="0"/>
        <w:pageBreakBefore w:val="0"/>
        <w:widowControl w:val="0"/>
        <w:tabs>
          <w:tab w:val="left" w:pos="760"/>
        </w:tabs>
        <w:kinsoku/>
        <w:wordWrap w:val="0"/>
        <w:overflowPunct/>
        <w:topLinePunct w:val="0"/>
        <w:autoSpaceDE/>
        <w:autoSpaceDN/>
        <w:bidi w:val="0"/>
        <w:spacing w:line="440" w:lineRule="exact"/>
        <w:ind w:firstLine="360" w:firstLineChars="15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（2）项目主管部门或者行政监督部门的人员；</w:t>
      </w:r>
    </w:p>
    <w:p w14:paraId="6E0BDC05">
      <w:pPr>
        <w:keepNext w:val="0"/>
        <w:keepLines w:val="0"/>
        <w:pageBreakBefore w:val="0"/>
        <w:widowControl w:val="0"/>
        <w:tabs>
          <w:tab w:val="left" w:pos="760"/>
        </w:tabs>
        <w:kinsoku/>
        <w:wordWrap w:val="0"/>
        <w:overflowPunct/>
        <w:topLinePunct w:val="0"/>
        <w:autoSpaceDE/>
        <w:autoSpaceDN/>
        <w:bidi w:val="0"/>
        <w:spacing w:line="440" w:lineRule="exact"/>
        <w:ind w:firstLine="360" w:firstLineChars="15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（3）与供应商有经济利益关系，可能影响对投标公正评审的；</w:t>
      </w:r>
    </w:p>
    <w:p w14:paraId="3A5A18E7">
      <w:pPr>
        <w:keepNext w:val="0"/>
        <w:keepLines w:val="0"/>
        <w:pageBreakBefore w:val="0"/>
        <w:widowControl w:val="0"/>
        <w:tabs>
          <w:tab w:val="left" w:pos="760"/>
        </w:tabs>
        <w:kinsoku/>
        <w:wordWrap w:val="0"/>
        <w:overflowPunct/>
        <w:topLinePunct w:val="0"/>
        <w:autoSpaceDE/>
        <w:autoSpaceDN/>
        <w:bidi w:val="0"/>
        <w:spacing w:line="440" w:lineRule="exact"/>
        <w:ind w:firstLine="360" w:firstLineChars="15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（4）曾因在招标、评标以及其他与招标投标有关活动中从事违法行为而受过行政处罚或刑事处罚的；</w:t>
      </w:r>
    </w:p>
    <w:p w14:paraId="423A2946">
      <w:pPr>
        <w:keepNext w:val="0"/>
        <w:keepLines w:val="0"/>
        <w:pageBreakBefore w:val="0"/>
        <w:widowControl w:val="0"/>
        <w:tabs>
          <w:tab w:val="left" w:pos="760"/>
        </w:tabs>
        <w:kinsoku/>
        <w:wordWrap w:val="0"/>
        <w:overflowPunct/>
        <w:topLinePunct w:val="0"/>
        <w:autoSpaceDE/>
        <w:autoSpaceDN/>
        <w:bidi w:val="0"/>
        <w:spacing w:line="440" w:lineRule="exact"/>
        <w:ind w:firstLine="360" w:firstLineChars="15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（5）与供应商有其他利害关系。</w:t>
      </w:r>
    </w:p>
    <w:p w14:paraId="71AEC670">
      <w:pPr>
        <w:keepNext w:val="0"/>
        <w:keepLines w:val="0"/>
        <w:pageBreakBefore w:val="0"/>
        <w:widowControl w:val="0"/>
        <w:tabs>
          <w:tab w:val="left" w:pos="760"/>
        </w:tabs>
        <w:kinsoku/>
        <w:wordWrap w:val="0"/>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6.1.3 评标过程中，</w:t>
      </w:r>
      <w:r>
        <w:rPr>
          <w:rFonts w:hint="eastAsia" w:ascii="宋体" w:hAnsi="宋体" w:eastAsia="宋体" w:cs="宋体"/>
          <w:bCs/>
          <w:color w:val="auto"/>
          <w:sz w:val="24"/>
          <w:szCs w:val="24"/>
          <w:highlight w:val="none"/>
        </w:rPr>
        <w:t>因评标委员会成员缺席、回避或者健康等特殊原因导致评标委员会组成不符合本办法规定的，采购人或者采购代理机构应当依法补足后继续评标。被更换的评标委员会成员所作出的评标意见无效。</w:t>
      </w:r>
    </w:p>
    <w:p w14:paraId="20FC306F">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6.2 评标原则</w:t>
      </w:r>
    </w:p>
    <w:p w14:paraId="05C2D1EC">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评标活动遵循公平、公正、科学和择优的原则。</w:t>
      </w:r>
    </w:p>
    <w:p w14:paraId="6811B60E">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6.3 评标</w:t>
      </w:r>
    </w:p>
    <w:p w14:paraId="174F3F95">
      <w:pPr>
        <w:keepNext w:val="0"/>
        <w:keepLines w:val="0"/>
        <w:pageBreakBefore w:val="0"/>
        <w:widowControl w:val="0"/>
        <w:tabs>
          <w:tab w:val="left" w:pos="760"/>
        </w:tabs>
        <w:kinsoku/>
        <w:wordWrap w:val="0"/>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6.3.1</w:t>
      </w:r>
      <w:r>
        <w:rPr>
          <w:rFonts w:hint="eastAsia" w:ascii="宋体" w:hAnsi="宋体" w:eastAsia="宋体" w:cs="宋体"/>
          <w:color w:val="auto"/>
          <w:sz w:val="24"/>
          <w:szCs w:val="24"/>
          <w:highlight w:val="none"/>
          <w:lang w:val="zh-CN"/>
        </w:rPr>
        <w:t xml:space="preserve"> </w:t>
      </w:r>
      <w:r>
        <w:rPr>
          <w:rFonts w:hint="eastAsia" w:ascii="宋体" w:hAnsi="宋体" w:eastAsia="宋体" w:cs="宋体"/>
          <w:bCs/>
          <w:color w:val="auto"/>
          <w:sz w:val="24"/>
          <w:szCs w:val="24"/>
          <w:highlight w:val="none"/>
          <w:lang w:val="zh-CN"/>
        </w:rPr>
        <w:t>按照本章及第三章“评标办法”规定的方法、评审因素、标准和程序对投标文件进行评审。本章及第三章“评标办法”没有规定的方法、评审因素和标准，不作为评标依据。</w:t>
      </w:r>
    </w:p>
    <w:p w14:paraId="48BB4A0E">
      <w:pPr>
        <w:keepNext w:val="0"/>
        <w:keepLines w:val="0"/>
        <w:pageBreakBefore w:val="0"/>
        <w:widowControl w:val="0"/>
        <w:kinsoku/>
        <w:wordWrap w:val="0"/>
        <w:overflowPunct/>
        <w:topLinePunct w:val="0"/>
        <w:autoSpaceDE/>
        <w:autoSpaceDN/>
        <w:bidi w:val="0"/>
        <w:adjustRightInd w:val="0"/>
        <w:spacing w:line="440" w:lineRule="exact"/>
        <w:ind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6.3.2 评标完成后，评标委员会应当向采购人提交书面评标报告和中标候选人名单。评标委员会推荐中标候选人的人数见供应商须知前附表。</w:t>
      </w:r>
    </w:p>
    <w:p w14:paraId="27B1EFBA">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6.3.3 审查是否所有供应商的报价均超过最高投标限价：</w:t>
      </w:r>
    </w:p>
    <w:p w14:paraId="04046A58">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根据《中华人民共和国政府采购法》的规定，所有供应商的报价均超过最高投标限价，采购人不能支付的，应予废标。</w:t>
      </w:r>
    </w:p>
    <w:p w14:paraId="220CCC87">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6.3.4 审查供应商是否存在串通投标行为：</w:t>
      </w:r>
    </w:p>
    <w:p w14:paraId="5D907925">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评标委员会发现供应商有下列情形之一的，将认定属于串通投标行为，相关供应商的投标应作废标处理。评标结束后，招标机构将以书面形式报告本级财政部门：</w:t>
      </w:r>
    </w:p>
    <w:p w14:paraId="0CF41E86">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（1）不同供应商的投标文件中错、漏之处相同的；</w:t>
      </w:r>
    </w:p>
    <w:p w14:paraId="68A802B7">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（2）不同供应商的投标文件相互混装的，或者相互加盖了对方公章的，或者相互出现了对方法定代表人或者委托代理人签名的，或者相互书写了对方名称的；</w:t>
      </w:r>
    </w:p>
    <w:p w14:paraId="0AD9548B">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（3）一家供应商的投标文件中加盖了另一家供应商公章的；</w:t>
      </w:r>
    </w:p>
    <w:p w14:paraId="78709B11">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（4）</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的投标文件载明的项目管理成员或者联系人员为同一人</w:t>
      </w:r>
      <w:r>
        <w:rPr>
          <w:rFonts w:hint="eastAsia" w:ascii="宋体" w:hAnsi="宋体" w:eastAsia="宋体" w:cs="宋体"/>
          <w:color w:val="auto"/>
          <w:sz w:val="24"/>
          <w:szCs w:val="24"/>
          <w:highlight w:val="none"/>
          <w:lang w:val="zh-CN"/>
        </w:rPr>
        <w:t>；</w:t>
      </w:r>
    </w:p>
    <w:p w14:paraId="53FD837B">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（5）</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的投标文件异常一致或者投标报价呈规律性差异</w:t>
      </w:r>
      <w:r>
        <w:rPr>
          <w:rFonts w:hint="eastAsia" w:ascii="宋体" w:hAnsi="宋体" w:eastAsia="宋体" w:cs="宋体"/>
          <w:color w:val="auto"/>
          <w:sz w:val="24"/>
          <w:szCs w:val="24"/>
          <w:highlight w:val="none"/>
          <w:lang w:val="zh-CN"/>
        </w:rPr>
        <w:t>；</w:t>
      </w:r>
    </w:p>
    <w:p w14:paraId="3D9363FF">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（6）不同供应商的投标文件中相关内容的段落、字句、售后服务电话、联系人姓名等非正常一致的；</w:t>
      </w:r>
    </w:p>
    <w:p w14:paraId="20A95124">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（7）一家供应商的投标文件中装订了标有另一家供应商名称的文件材料，或者出现了另一家法定代表人或者授予代理人签名的，其投标作废标处理；</w:t>
      </w:r>
    </w:p>
    <w:p w14:paraId="7A40B4AB">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（8）不同供应商的投标文件由同一单位或者个人编制；</w:t>
      </w:r>
    </w:p>
    <w:p w14:paraId="5F0B16EF">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（9）不同供应商委托同一单位或者个人办理投标事宜；</w:t>
      </w:r>
    </w:p>
    <w:p w14:paraId="41B50B38">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（10）不同供应商的投标文件由同一台电脑编制。</w:t>
      </w:r>
    </w:p>
    <w:p w14:paraId="39D8F424">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（11）电子招投标时不同供应商的电子投标文件机器制作码或创建标识码一致的；</w:t>
      </w:r>
    </w:p>
    <w:p w14:paraId="72221C98">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）不同供应商的投标保证金从同一单位或者个</w:t>
      </w:r>
      <w:r>
        <w:rPr>
          <w:rFonts w:hint="eastAsia" w:ascii="宋体" w:hAnsi="宋体" w:eastAsia="宋体" w:cs="宋体"/>
          <w:color w:val="auto"/>
          <w:sz w:val="24"/>
          <w:szCs w:val="24"/>
          <w:highlight w:val="none"/>
        </w:rPr>
        <w:t>人账户转出。</w:t>
      </w:r>
    </w:p>
    <w:p w14:paraId="0E690C29">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）《关于禁止串通招标投标行为的暂行规定》（国家工商行政管理局令第82号）第三条规定的串通投标行为；</w:t>
      </w:r>
    </w:p>
    <w:p w14:paraId="2E0DADD9">
      <w:pPr>
        <w:keepNext w:val="0"/>
        <w:keepLines w:val="0"/>
        <w:pageBreakBefore w:val="0"/>
        <w:widowControl w:val="0"/>
        <w:kinsoku/>
        <w:wordWrap w:val="0"/>
        <w:overflowPunct/>
        <w:topLinePunct w:val="0"/>
        <w:autoSpaceDE/>
        <w:autoSpaceDN/>
        <w:bidi w:val="0"/>
        <w:adjustRightInd w:val="0"/>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）供应商串通投标的其他情形。</w:t>
      </w:r>
    </w:p>
    <w:p w14:paraId="5B92FE35">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6.3.5 对投标文件商务部分（资格性）进行审查：</w:t>
      </w:r>
    </w:p>
    <w:p w14:paraId="5E6A16C9">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资格审查小组</w:t>
      </w:r>
      <w:r>
        <w:rPr>
          <w:rFonts w:hint="eastAsia" w:ascii="宋体" w:hAnsi="宋体" w:eastAsia="宋体" w:cs="宋体"/>
          <w:color w:val="auto"/>
          <w:sz w:val="24"/>
          <w:szCs w:val="24"/>
          <w:highlight w:val="none"/>
          <w:lang w:val="zh-CN"/>
        </w:rPr>
        <w:t>将审查每个供应商提交的商务文件是否齐全完整，是否合法有效，是否有重大偏离和保留，是否符合招标文件的全部要求。商务（供应商资格）审查不符合招标文件要求的投标文件将被拒绝。</w:t>
      </w:r>
    </w:p>
    <w:p w14:paraId="05709593">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lang w:val="zh-CN"/>
        </w:rPr>
      </w:pPr>
      <w:r>
        <w:rPr>
          <w:rFonts w:hint="eastAsia" w:ascii="宋体" w:hAnsi="宋体" w:eastAsia="宋体" w:cs="宋体"/>
          <w:bCs/>
          <w:color w:val="auto"/>
          <w:sz w:val="24"/>
          <w:szCs w:val="24"/>
          <w:highlight w:val="none"/>
          <w:lang w:val="zh-CN"/>
        </w:rPr>
        <w:t>6.3.6  对投标文件技术部分（符合性）进行审查：</w:t>
      </w:r>
    </w:p>
    <w:p w14:paraId="625A0ECA">
      <w:pPr>
        <w:keepNext w:val="0"/>
        <w:keepLines w:val="0"/>
        <w:pageBreakBefore w:val="0"/>
        <w:widowControl w:val="0"/>
        <w:kinsoku/>
        <w:wordWrap w:val="0"/>
        <w:overflowPunct/>
        <w:topLinePunct w:val="0"/>
        <w:autoSpaceDE/>
        <w:autoSpaceDN/>
        <w:bidi w:val="0"/>
        <w:adjustRightInd w:val="0"/>
        <w:spacing w:line="44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6.3.6.1 对于商务审查合格的供应商，评标委员会将审查其投标文件技术部分是否对招标文件规定的事项、格式及内容、条款、技术规格及要求等都做出了实质性响应。</w:t>
      </w:r>
    </w:p>
    <w:p w14:paraId="5A10AFB8">
      <w:pPr>
        <w:keepNext w:val="0"/>
        <w:keepLines w:val="0"/>
        <w:pageBreakBefore w:val="0"/>
        <w:widowControl w:val="0"/>
        <w:kinsoku/>
        <w:wordWrap w:val="0"/>
        <w:overflowPunct/>
        <w:topLinePunct w:val="0"/>
        <w:autoSpaceDE/>
        <w:autoSpaceDN/>
        <w:bidi w:val="0"/>
        <w:adjustRightInd w:val="0"/>
        <w:spacing w:line="44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6.3.6.2 实质性响应的投标是指与招标文件规定的事项、格式及内容、条款、技术规格及要求等如实进行响应，没有重大偏离和保留。没有实质性响应招标文件要求的投标将被拒绝。</w:t>
      </w:r>
    </w:p>
    <w:p w14:paraId="5B215FF9">
      <w:pPr>
        <w:keepNext w:val="0"/>
        <w:keepLines w:val="0"/>
        <w:pageBreakBefore w:val="0"/>
        <w:widowControl w:val="0"/>
        <w:kinsoku/>
        <w:wordWrap w:val="0"/>
        <w:overflowPunct/>
        <w:topLinePunct w:val="0"/>
        <w:autoSpaceDE/>
        <w:autoSpaceDN/>
        <w:bidi w:val="0"/>
        <w:adjustRightInd w:val="0"/>
        <w:spacing w:line="44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6.3.7 重大偏离和保留是指实质上影响合同的供货范围、质量和性能，或者实质上限制了合同中采购人的权利或供应商的义务。投标文件有下列情形之一的属于重大偏离和保留，将作废标处理：</w:t>
      </w:r>
    </w:p>
    <w:p w14:paraId="0BD72E7D">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（1）供应商未按招标文件规定提交所要求提交的全部文件或者提交的文件无效、缺失、漏项或者不符合招标文件的规定；</w:t>
      </w:r>
    </w:p>
    <w:p w14:paraId="0BC7C8FF">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（2）投标文件未按招标文件的规定密封、签署或盖章；</w:t>
      </w:r>
    </w:p>
    <w:p w14:paraId="7EC81094">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（3）投标文件载明的项目完成期限超过招标文件规定的期限；</w:t>
      </w:r>
    </w:p>
    <w:p w14:paraId="7CB7B2CB">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（4）投标文件技术部分存在明显雷同响应、响应内容与证明资料不一致、提供虚假证明资料或虚假描述的；</w:t>
      </w:r>
    </w:p>
    <w:p w14:paraId="0863DBCA">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（5）投标文件技术规格、标准和技术参数与文件中证明材料不符合及不响应的；</w:t>
      </w:r>
    </w:p>
    <w:p w14:paraId="7CB002BD">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（6）投标文件载明的货物包装方式、检验方法和标准等不符合招标文件要求；</w:t>
      </w:r>
    </w:p>
    <w:p w14:paraId="2128D77B">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（7）投标文件附有采购人不能接受的条件；</w:t>
      </w:r>
    </w:p>
    <w:p w14:paraId="64706FE9">
      <w:pPr>
        <w:keepNext w:val="0"/>
        <w:keepLines w:val="0"/>
        <w:pageBreakBefore w:val="0"/>
        <w:widowControl w:val="0"/>
        <w:kinsoku/>
        <w:wordWrap w:val="0"/>
        <w:overflowPunct/>
        <w:topLinePunct w:val="0"/>
        <w:autoSpaceDE/>
        <w:autoSpaceDN/>
        <w:bidi w:val="0"/>
        <w:adjustRightInd w:val="0"/>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（8）不符合招标文件规定的其他实质性要求。</w:t>
      </w:r>
    </w:p>
    <w:p w14:paraId="612D633D">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6.3.8 评标委员会将允许修正投标文件中不构成重大偏离的细微偏离，但这些修正应不会对实质上响应招标文件要求的供应商的竞争地位（相互排序）产生不公正的影响。</w:t>
      </w:r>
    </w:p>
    <w:p w14:paraId="3D4E9BF7">
      <w:pPr>
        <w:keepNext w:val="0"/>
        <w:keepLines w:val="0"/>
        <w:pageBreakBefore w:val="0"/>
        <w:widowControl w:val="0"/>
        <w:kinsoku/>
        <w:wordWrap w:val="0"/>
        <w:overflowPunct/>
        <w:topLinePunct w:val="0"/>
        <w:autoSpaceDE/>
        <w:autoSpaceDN/>
        <w:bidi w:val="0"/>
        <w:adjustRightInd w:val="0"/>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6.3.9 评标委员会对投标文件的判定，只依据投标文件内容本身，不依据任何外来证明。</w:t>
      </w:r>
    </w:p>
    <w:p w14:paraId="422EE3FD">
      <w:pPr>
        <w:keepNext w:val="0"/>
        <w:keepLines w:val="0"/>
        <w:pageBreakBefore w:val="0"/>
        <w:widowControl w:val="0"/>
        <w:kinsoku/>
        <w:wordWrap w:val="0"/>
        <w:overflowPunct/>
        <w:topLinePunct w:val="0"/>
        <w:autoSpaceDE/>
        <w:autoSpaceDN/>
        <w:bidi w:val="0"/>
        <w:adjustRightInd w:val="0"/>
        <w:spacing w:line="44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6.3.10 投标报价的审查：评标委员会将对商务审查、技术审查合格的投标文件的报价进行审核，看其是否有计算和累加上的错误或前后不一致的，按下列规定修正：</w:t>
      </w:r>
    </w:p>
    <w:p w14:paraId="01982B82">
      <w:pPr>
        <w:keepNext w:val="0"/>
        <w:keepLines w:val="0"/>
        <w:pageBreakBefore w:val="0"/>
        <w:widowControl w:val="0"/>
        <w:kinsoku/>
        <w:wordWrap w:val="0"/>
        <w:overflowPunct/>
        <w:topLinePunct w:val="0"/>
        <w:autoSpaceDE/>
        <w:autoSpaceDN/>
        <w:bidi w:val="0"/>
        <w:adjustRightInd w:val="0"/>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投标文件中开标一览表（报价表）内容与投标文件中相应内容不一致的，以开标一览表（报价表）为准；</w:t>
      </w:r>
    </w:p>
    <w:p w14:paraId="167DB06B">
      <w:pPr>
        <w:keepNext w:val="0"/>
        <w:keepLines w:val="0"/>
        <w:pageBreakBefore w:val="0"/>
        <w:widowControl w:val="0"/>
        <w:kinsoku/>
        <w:wordWrap w:val="0"/>
        <w:overflowPunct/>
        <w:topLinePunct w:val="0"/>
        <w:autoSpaceDE/>
        <w:autoSpaceDN/>
        <w:bidi w:val="0"/>
        <w:adjustRightInd w:val="0"/>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14:paraId="1E432C21">
      <w:pPr>
        <w:keepNext w:val="0"/>
        <w:keepLines w:val="0"/>
        <w:pageBreakBefore w:val="0"/>
        <w:widowControl w:val="0"/>
        <w:kinsoku/>
        <w:wordWrap w:val="0"/>
        <w:overflowPunct/>
        <w:topLinePunct w:val="0"/>
        <w:autoSpaceDE/>
        <w:autoSpaceDN/>
        <w:bidi w:val="0"/>
        <w:adjustRightInd w:val="0"/>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（3）总价金额与按单价汇总金额不一致的，以单价金额计算结果为准。</w:t>
      </w:r>
    </w:p>
    <w:p w14:paraId="71DC63E5">
      <w:pPr>
        <w:keepNext w:val="0"/>
        <w:keepLines w:val="0"/>
        <w:pageBreakBefore w:val="0"/>
        <w:widowControl w:val="0"/>
        <w:kinsoku/>
        <w:wordWrap w:val="0"/>
        <w:overflowPunct/>
        <w:topLinePunct w:val="0"/>
        <w:autoSpaceDE/>
        <w:autoSpaceDN/>
        <w:bidi w:val="0"/>
        <w:adjustRightInd w:val="0"/>
        <w:spacing w:line="44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6.3.11</w:t>
      </w:r>
      <w:r>
        <w:rPr>
          <w:rFonts w:hint="eastAsia" w:ascii="宋体" w:hAnsi="宋体" w:eastAsia="宋体" w:cs="宋体"/>
          <w:b/>
          <w:color w:val="auto"/>
          <w:sz w:val="24"/>
          <w:szCs w:val="24"/>
          <w:highlight w:val="none"/>
          <w:lang w:val="zh-CN"/>
        </w:rPr>
        <w:t xml:space="preserve"> </w:t>
      </w:r>
      <w:r>
        <w:rPr>
          <w:rFonts w:hint="eastAsia" w:ascii="宋体" w:hAnsi="宋体" w:eastAsia="宋体" w:cs="宋体"/>
          <w:color w:val="auto"/>
          <w:sz w:val="24"/>
          <w:szCs w:val="24"/>
          <w:highlight w:val="none"/>
          <w:lang w:val="zh-CN"/>
        </w:rPr>
        <w:t>公开开标后，直至向中标的供应商授予合同时止，除按招标文件规定予以公开的评标结果外，凡与审查、澄清、评价和比较投标有关的资料以及授标意见等，均不得向供应商及与评标无关的其他人透露。</w:t>
      </w:r>
    </w:p>
    <w:p w14:paraId="374D1BA1">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6.3.12 </w:t>
      </w:r>
      <w:r>
        <w:rPr>
          <w:rFonts w:hint="eastAsia" w:ascii="宋体" w:hAnsi="宋体" w:eastAsia="宋体" w:cs="宋体"/>
          <w:color w:val="auto"/>
          <w:sz w:val="24"/>
          <w:szCs w:val="24"/>
          <w:highlight w:val="none"/>
        </w:rPr>
        <w:t>对于投标文件中含义不明确、同类问题表述不一致或者有明显文字和计算错误的内容，评标委员会</w:t>
      </w:r>
      <w:r>
        <w:rPr>
          <w:rFonts w:hint="eastAsia" w:ascii="宋体" w:hAnsi="宋体" w:eastAsia="宋体" w:cs="宋体"/>
          <w:color w:val="auto"/>
          <w:sz w:val="24"/>
          <w:szCs w:val="24"/>
          <w:highlight w:val="none"/>
          <w:lang w:val="zh-CN"/>
        </w:rPr>
        <w:t>将以书面形式（澄清细微偏离由评标委员会依据招标文件集体决定并由评标委员会专家签字）要求供应商在规定的时限内（在评标结束前）作出必要的澄清、说明或者补正。供应商的澄清、说明或者补正应当采用书面形式，由供应商法定代表人或其委托代理人签字（须提交签字人身份证件并与投标文件签字人一致）并加盖公章，供应商的澄清、说明或者补正不得超出投标文件的范围或者改变投标文件的实质性内容。供应商拒不进行澄清、说明、补正的，或者不能在规定时间内作出书面澄清、说明、补正的，评标委员会将拒绝其投标。</w:t>
      </w:r>
    </w:p>
    <w:p w14:paraId="02328F1D">
      <w:pPr>
        <w:keepNext w:val="0"/>
        <w:keepLines w:val="0"/>
        <w:pageBreakBefore w:val="0"/>
        <w:widowControl w:val="0"/>
        <w:tabs>
          <w:tab w:val="left" w:pos="3675"/>
        </w:tabs>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6.3.13本项目采用综合评分法，评标委员会将按不同供应商评审后得分由高到低的顺序推荐前三名中标候选人；得分相同的，按投标报价由低到高顺序排列；得分且投标报价也相同的，按技术标评审得分由高到低顺序排列。投标文件在满足招标文件全部实质性要求，且按照评审因素的量化指标评审后得分最高的供应商为第一中标候选人，依次排列。提供相同品牌产品且通过资格审查、符合性审查的不同供应商参加同一合同项下投标的，按一家供应商计算，评审后得分最高的同品牌供应商获得中标供应商推荐资格；得分相同的，按投标报价最低的同品牌供应商确定一个供应商获得中标供应商推荐资格；得分且投标报价也相同的，按技术标评审得分最高的同品牌供应商确定一个供应商获得中标供应商推荐资格。</w:t>
      </w:r>
    </w:p>
    <w:p w14:paraId="1C9E0E7A">
      <w:pPr>
        <w:keepNext w:val="0"/>
        <w:keepLines w:val="0"/>
        <w:pageBreakBefore w:val="0"/>
        <w:widowControl w:val="0"/>
        <w:tabs>
          <w:tab w:val="left" w:pos="3675"/>
        </w:tabs>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6.3.14评标结果汇总完成后，除下列情形外，任何人不得修改评标结果：</w:t>
      </w:r>
    </w:p>
    <w:p w14:paraId="7BA71D31">
      <w:pPr>
        <w:keepNext w:val="0"/>
        <w:keepLines w:val="0"/>
        <w:pageBreakBefore w:val="0"/>
        <w:widowControl w:val="0"/>
        <w:tabs>
          <w:tab w:val="left" w:pos="3675"/>
        </w:tabs>
        <w:kinsoku/>
        <w:wordWrap w:val="0"/>
        <w:overflowPunct/>
        <w:topLinePunct w:val="0"/>
        <w:autoSpaceDE/>
        <w:autoSpaceDN/>
        <w:bidi w:val="0"/>
        <w:adjustRightIn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（1）分值汇总计算错误的；</w:t>
      </w:r>
    </w:p>
    <w:p w14:paraId="2E25A7AE">
      <w:pPr>
        <w:keepNext w:val="0"/>
        <w:keepLines w:val="0"/>
        <w:pageBreakBefore w:val="0"/>
        <w:widowControl w:val="0"/>
        <w:tabs>
          <w:tab w:val="left" w:pos="3675"/>
        </w:tabs>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（2）分项评分超出评分标准范围的；</w:t>
      </w:r>
    </w:p>
    <w:p w14:paraId="0C9308BF">
      <w:pPr>
        <w:keepNext w:val="0"/>
        <w:keepLines w:val="0"/>
        <w:pageBreakBefore w:val="0"/>
        <w:widowControl w:val="0"/>
        <w:tabs>
          <w:tab w:val="left" w:pos="3675"/>
        </w:tabs>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（3）评标委员会成员对客观评审因素评分不一致的；</w:t>
      </w:r>
    </w:p>
    <w:p w14:paraId="6FE5E6FD">
      <w:pPr>
        <w:keepNext w:val="0"/>
        <w:keepLines w:val="0"/>
        <w:pageBreakBefore w:val="0"/>
        <w:widowControl w:val="0"/>
        <w:tabs>
          <w:tab w:val="left" w:pos="3675"/>
        </w:tabs>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（4）经评标委员会认定评分畸高、畸低的。</w:t>
      </w:r>
    </w:p>
    <w:p w14:paraId="30D446B3">
      <w:pPr>
        <w:keepNext w:val="0"/>
        <w:keepLines w:val="0"/>
        <w:pageBreakBefore w:val="0"/>
        <w:widowControl w:val="0"/>
        <w:tabs>
          <w:tab w:val="left" w:pos="3675"/>
        </w:tabs>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AF30905">
      <w:pPr>
        <w:keepNext w:val="0"/>
        <w:keepLines w:val="0"/>
        <w:pageBreakBefore w:val="0"/>
        <w:widowControl w:val="0"/>
        <w:tabs>
          <w:tab w:val="left" w:pos="3675"/>
        </w:tabs>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对本条第一款情形提出质疑的，采购人或者采购代理机构可以组织原评标委员会进行重新评审，重新评审改变评标结果的，应当书面报告本级财政部门。</w:t>
      </w:r>
    </w:p>
    <w:p w14:paraId="181D386E">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7.合同授予</w:t>
      </w:r>
    </w:p>
    <w:p w14:paraId="0360FACC">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7.1 中标公告</w:t>
      </w:r>
    </w:p>
    <w:p w14:paraId="0102FD20">
      <w:pPr>
        <w:keepNext w:val="0"/>
        <w:keepLines w:val="0"/>
        <w:pageBreakBefore w:val="0"/>
        <w:widowControl w:val="0"/>
        <w:tabs>
          <w:tab w:val="left" w:pos="760"/>
        </w:tabs>
        <w:kinsoku/>
        <w:wordWrap w:val="0"/>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采购代理机构应当在评标结束后2个工作日内将评标报告送采购人，采购代理机构应当自评标委员会中标人确定之日起</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个工作日内，在省级以上财政部门指定的媒体上公告中标结果，</w:t>
      </w:r>
      <w:r>
        <w:rPr>
          <w:rFonts w:hint="eastAsia" w:ascii="宋体" w:hAnsi="宋体" w:cs="宋体"/>
          <w:bCs/>
          <w:color w:val="auto"/>
          <w:sz w:val="24"/>
          <w:szCs w:val="24"/>
          <w:highlight w:val="none"/>
          <w:lang w:val="en-US" w:eastAsia="zh-CN"/>
        </w:rPr>
        <w:t>招标</w:t>
      </w:r>
      <w:r>
        <w:rPr>
          <w:rFonts w:hint="eastAsia" w:ascii="宋体" w:hAnsi="宋体" w:eastAsia="宋体" w:cs="宋体"/>
          <w:bCs/>
          <w:color w:val="auto"/>
          <w:sz w:val="24"/>
          <w:szCs w:val="24"/>
          <w:highlight w:val="none"/>
        </w:rPr>
        <w:t>文件应当随中标结果同时公告。中标公告期限为1个工作日。</w:t>
      </w:r>
    </w:p>
    <w:p w14:paraId="00071AE3">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7.2 评标结果异议</w:t>
      </w:r>
    </w:p>
    <w:p w14:paraId="00EC67ED">
      <w:pPr>
        <w:keepNext w:val="0"/>
        <w:keepLines w:val="0"/>
        <w:pageBreakBefore w:val="0"/>
        <w:widowControl w:val="0"/>
        <w:tabs>
          <w:tab w:val="left" w:pos="760"/>
        </w:tabs>
        <w:kinsoku/>
        <w:wordWrap w:val="0"/>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供应商认为中标、成交结果使自己的权益受到损害的，可以在发布中标、成交结果公告之日起七个工作日内，以书面形式向采购人提出质疑。采购人应当在收到供应商的书面质疑后七</w:t>
      </w:r>
      <w:r>
        <w:rPr>
          <w:rFonts w:hint="eastAsia" w:ascii="宋体" w:hAnsi="宋体" w:eastAsia="宋体" w:cs="宋体"/>
          <w:bCs/>
          <w:color w:val="auto"/>
          <w:sz w:val="24"/>
          <w:szCs w:val="24"/>
          <w:highlight w:val="none"/>
        </w:rPr>
        <w:t>个工作日内</w:t>
      </w:r>
      <w:r>
        <w:rPr>
          <w:rFonts w:hint="eastAsia" w:ascii="宋体" w:hAnsi="宋体" w:eastAsia="宋体" w:cs="宋体"/>
          <w:bCs/>
          <w:color w:val="auto"/>
          <w:sz w:val="24"/>
          <w:szCs w:val="24"/>
          <w:highlight w:val="none"/>
          <w:lang w:val="zh-CN"/>
        </w:rPr>
        <w:t>作出答复。</w:t>
      </w:r>
    </w:p>
    <w:p w14:paraId="7E3B49C7">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7.3 中标候选人履约能力审查</w:t>
      </w:r>
    </w:p>
    <w:p w14:paraId="4207A71C">
      <w:pPr>
        <w:keepNext w:val="0"/>
        <w:keepLines w:val="0"/>
        <w:pageBreakBefore w:val="0"/>
        <w:widowControl w:val="0"/>
        <w:kinsoku/>
        <w:wordWrap w:val="0"/>
        <w:overflowPunct/>
        <w:topLinePunct w:val="0"/>
        <w:autoSpaceDE/>
        <w:autoSpaceDN/>
        <w:bidi w:val="0"/>
        <w:adjustRightInd w:val="0"/>
        <w:spacing w:line="440" w:lineRule="exact"/>
        <w:ind w:firstLine="480" w:firstLineChars="200"/>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lang w:val="zh-CN"/>
        </w:rPr>
        <w:t>中标候选人的经营、财务状况发生较大变化或存在违法行为以及经采购人考察中标候选人提供中标货物的技术参数、技术规格、技术标准与招标文件的要求不符，采购人认为可能影响其履约能力的，将在发出中标通知书前提请原评标委员会按照招标文件规定的标准和方法进行审查确认。</w:t>
      </w:r>
    </w:p>
    <w:p w14:paraId="46BA8618">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7.4 定标</w:t>
      </w:r>
    </w:p>
    <w:p w14:paraId="23D4B28C">
      <w:pPr>
        <w:keepNext w:val="0"/>
        <w:keepLines w:val="0"/>
        <w:pageBreakBefore w:val="0"/>
        <w:widowControl w:val="0"/>
        <w:tabs>
          <w:tab w:val="left" w:pos="760"/>
        </w:tabs>
        <w:kinsoku/>
        <w:wordWrap w:val="0"/>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按照供应商须知前附表的规定，采购人或采购人授权的评标委员会依法确定中标供应商。</w:t>
      </w:r>
    </w:p>
    <w:p w14:paraId="3271EDF5">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7.5 中标通知</w:t>
      </w:r>
    </w:p>
    <w:p w14:paraId="5B8F7075">
      <w:pPr>
        <w:keepNext w:val="0"/>
        <w:keepLines w:val="0"/>
        <w:pageBreakBefore w:val="0"/>
        <w:widowControl w:val="0"/>
        <w:kinsoku/>
        <w:wordWrap w:val="0"/>
        <w:overflowPunct/>
        <w:topLinePunct w:val="0"/>
        <w:autoSpaceDE/>
        <w:autoSpaceDN/>
        <w:bidi w:val="0"/>
        <w:adjustRightInd w:val="0"/>
        <w:spacing w:line="440" w:lineRule="exact"/>
        <w:ind w:firstLine="482"/>
        <w:textAlignment w:val="auto"/>
        <w:rPr>
          <w:rFonts w:hint="eastAsia" w:ascii="宋体" w:hAnsi="宋体" w:eastAsia="宋体" w:cs="宋体"/>
          <w:color w:val="auto"/>
          <w:sz w:val="24"/>
          <w:szCs w:val="24"/>
          <w:highlight w:val="none"/>
          <w:lang w:val="zh-CN"/>
        </w:rPr>
      </w:pPr>
      <w:r>
        <w:rPr>
          <w:rFonts w:hint="eastAsia" w:ascii="宋体" w:hAnsi="宋体" w:eastAsia="宋体" w:cs="宋体"/>
          <w:bCs/>
          <w:color w:val="auto"/>
          <w:sz w:val="24"/>
          <w:szCs w:val="24"/>
          <w:highlight w:val="none"/>
          <w:lang w:val="zh-CN"/>
        </w:rPr>
        <w:t>在本章第 3.3 款规定的投标有效期内，采购人以书面形式向中标供应商发出中标通知书，</w:t>
      </w:r>
      <w:r>
        <w:rPr>
          <w:rFonts w:hint="eastAsia" w:ascii="宋体" w:hAnsi="宋体" w:eastAsia="宋体" w:cs="宋体"/>
          <w:color w:val="auto"/>
          <w:sz w:val="24"/>
          <w:szCs w:val="24"/>
          <w:highlight w:val="none"/>
          <w:lang w:val="zh-CN"/>
        </w:rPr>
        <w:t>中标通知书是合同的组成部分，对采购人和中标供应商均具有法律约束力。</w:t>
      </w:r>
    </w:p>
    <w:p w14:paraId="5E76F813">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7.6 技术成果经济补偿</w:t>
      </w:r>
    </w:p>
    <w:p w14:paraId="15CE005E">
      <w:pPr>
        <w:keepNext w:val="0"/>
        <w:keepLines w:val="0"/>
        <w:pageBreakBefore w:val="0"/>
        <w:widowControl w:val="0"/>
        <w:tabs>
          <w:tab w:val="left" w:pos="760"/>
        </w:tabs>
        <w:kinsoku/>
        <w:wordWrap w:val="0"/>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采购人对符合招标文件规定的未中标供应商的技术成果进行补偿的，采购人将在供应商须知前附表中规定给予经济补偿标准，未规定的不予经济补偿。</w:t>
      </w:r>
    </w:p>
    <w:p w14:paraId="0FAE47F3">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7.7 履约保证金</w:t>
      </w:r>
    </w:p>
    <w:p w14:paraId="3028BFE9">
      <w:pPr>
        <w:keepNext w:val="0"/>
        <w:keepLines w:val="0"/>
        <w:pageBreakBefore w:val="0"/>
        <w:widowControl w:val="0"/>
        <w:tabs>
          <w:tab w:val="left" w:pos="760"/>
        </w:tabs>
        <w:kinsoku/>
        <w:wordWrap w:val="0"/>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7.7.1 在签订合同前，中标供应商应按供应商须知前附表规定的形式、金额和招标文件第五章“合同条款”规定的或者事先经过采购人书面认可的履约保证金格式向采购人提交履约保证金。除供应商须知前附表另有规定外，履约保证金为中标合同金额的 10%。联合体中标的，其履约保证金以联合体各方或者联合体中牵头人的名义提交。</w:t>
      </w:r>
    </w:p>
    <w:p w14:paraId="7B73D848">
      <w:pPr>
        <w:keepNext w:val="0"/>
        <w:keepLines w:val="0"/>
        <w:pageBreakBefore w:val="0"/>
        <w:widowControl w:val="0"/>
        <w:tabs>
          <w:tab w:val="left" w:pos="760"/>
        </w:tabs>
        <w:kinsoku/>
        <w:wordWrap w:val="0"/>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7.7.2 中标供应商不能按本章第 7.7.1 款要求提交履约保证金的，视为放弃中标，其投标保证金不予退还，给采购人造成的损失超过投标保证金数额的，中标供应商还应当对超过部分予以赔偿。</w:t>
      </w:r>
    </w:p>
    <w:p w14:paraId="533998EF">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7.8 签订合同</w:t>
      </w:r>
    </w:p>
    <w:p w14:paraId="6FC8D03E">
      <w:pPr>
        <w:keepNext w:val="0"/>
        <w:keepLines w:val="0"/>
        <w:pageBreakBefore w:val="0"/>
        <w:widowControl w:val="0"/>
        <w:tabs>
          <w:tab w:val="left" w:pos="760"/>
        </w:tabs>
        <w:kinsoku/>
        <w:wordWrap w:val="0"/>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7.8.1 采购人和中标供应商应当自中标通知书发出之日起 30 日内，按照招标文件和中标供应商投标文件的规定订立书面合同。中标供应商无正当理由拒签合同，在签订合同时向采购人提出附加条件，或者不按照招标文件要求提交履约保证金的，采购人有权取消其中标资格，其投标保证金不予退还，同时</w:t>
      </w:r>
      <w:r>
        <w:rPr>
          <w:rFonts w:hint="eastAsia" w:ascii="宋体" w:hAnsi="宋体" w:eastAsia="宋体" w:cs="宋体"/>
          <w:color w:val="auto"/>
          <w:sz w:val="24"/>
          <w:szCs w:val="24"/>
          <w:highlight w:val="none"/>
          <w:lang w:val="zh-CN"/>
        </w:rPr>
        <w:t>列入不良行为记录名单，在一至三年内禁止参加政府采购活动并予以公告。供应商在被评标委员会评定为预中标供应商（中标供应商）之后、中标通知书发出之前放弃中标的，按本条规定处理</w:t>
      </w:r>
      <w:r>
        <w:rPr>
          <w:rFonts w:hint="eastAsia" w:ascii="宋体" w:hAnsi="宋体" w:eastAsia="宋体" w:cs="宋体"/>
          <w:bCs/>
          <w:color w:val="auto"/>
          <w:sz w:val="24"/>
          <w:szCs w:val="24"/>
          <w:highlight w:val="none"/>
          <w:lang w:val="zh-CN"/>
        </w:rPr>
        <w:t>给采购人造成的损失超过投标保证金数额的，中标供应商还应当对超过部分予以赔偿。</w:t>
      </w:r>
    </w:p>
    <w:p w14:paraId="07B5A703">
      <w:pPr>
        <w:keepNext w:val="0"/>
        <w:keepLines w:val="0"/>
        <w:pageBreakBefore w:val="0"/>
        <w:widowControl w:val="0"/>
        <w:tabs>
          <w:tab w:val="left" w:pos="760"/>
        </w:tabs>
        <w:kinsoku/>
        <w:wordWrap w:val="0"/>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7.8.2 发出中标通知书后，采购人无正当理由拒签合同，或者在签订合同时向中标供应商提出附加条件的，采购人向中标供应商退还投标保证金，给中标供应商造成损失的，还应当赔偿损失。</w:t>
      </w:r>
    </w:p>
    <w:p w14:paraId="1C0A7A1F">
      <w:pPr>
        <w:keepNext w:val="0"/>
        <w:keepLines w:val="0"/>
        <w:pageBreakBefore w:val="0"/>
        <w:widowControl w:val="0"/>
        <w:kinsoku/>
        <w:wordWrap w:val="0"/>
        <w:overflowPunct/>
        <w:topLinePunct w:val="0"/>
        <w:autoSpaceDE/>
        <w:autoSpaceDN/>
        <w:bidi w:val="0"/>
        <w:adjustRightInd w:val="0"/>
        <w:spacing w:line="440" w:lineRule="exact"/>
        <w:ind w:firstLine="480" w:firstLineChars="200"/>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7.8.3 联合体中标的，联合体各方应当共同与采购人签订合同，就中标项目向采购人承担连带责任。</w:t>
      </w:r>
    </w:p>
    <w:p w14:paraId="3A855C0B">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8.纪律和监督</w:t>
      </w:r>
    </w:p>
    <w:p w14:paraId="0C7EEEE7">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8.1 对采购人的纪律要求</w:t>
      </w:r>
    </w:p>
    <w:p w14:paraId="3B9EDD81">
      <w:pPr>
        <w:keepNext w:val="0"/>
        <w:keepLines w:val="0"/>
        <w:pageBreakBefore w:val="0"/>
        <w:widowControl w:val="0"/>
        <w:tabs>
          <w:tab w:val="left" w:pos="760"/>
        </w:tabs>
        <w:kinsoku/>
        <w:wordWrap w:val="0"/>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采购人不得泄露招标投标活动中应当保密的情况和资料，不得与供应商串通损害国家利益、社会公共利益或者他人合法权益。</w:t>
      </w:r>
      <w:r>
        <w:rPr>
          <w:rFonts w:hint="eastAsia" w:ascii="宋体" w:hAnsi="宋体" w:eastAsia="宋体" w:cs="宋体"/>
          <w:color w:val="auto"/>
          <w:sz w:val="24"/>
          <w:szCs w:val="24"/>
          <w:highlight w:val="none"/>
          <w:lang w:val="zh-CN"/>
        </w:rPr>
        <w:t>采购人只负责评标组织工作，不参加评标。</w:t>
      </w:r>
      <w:r>
        <w:rPr>
          <w:rFonts w:hint="eastAsia" w:ascii="宋体" w:hAnsi="宋体" w:eastAsia="宋体" w:cs="宋体"/>
          <w:color w:val="auto"/>
          <w:sz w:val="24"/>
          <w:szCs w:val="24"/>
          <w:highlight w:val="none"/>
        </w:rPr>
        <w:t>采购人委托的采购代理机构工作人员不得参加由本机构代理的政府采购项目的评标。</w:t>
      </w:r>
    </w:p>
    <w:p w14:paraId="3C5B03DE">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8.2 对供应商的纪律要求</w:t>
      </w:r>
    </w:p>
    <w:p w14:paraId="0AE42F22">
      <w:pPr>
        <w:keepNext w:val="0"/>
        <w:keepLines w:val="0"/>
        <w:pageBreakBefore w:val="0"/>
        <w:widowControl w:val="0"/>
        <w:tabs>
          <w:tab w:val="left" w:pos="760"/>
        </w:tabs>
        <w:kinsoku/>
        <w:wordWrap w:val="0"/>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30F2365A">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8.3 对评标委员会成员的纪律要求</w:t>
      </w:r>
    </w:p>
    <w:p w14:paraId="1999581E">
      <w:pPr>
        <w:keepNext w:val="0"/>
        <w:keepLines w:val="0"/>
        <w:pageBreakBefore w:val="0"/>
        <w:widowControl w:val="0"/>
        <w:tabs>
          <w:tab w:val="left" w:pos="760"/>
        </w:tabs>
        <w:kinsoku/>
        <w:wordWrap w:val="0"/>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35A0BA3">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8.4 对与评标活动有关的工作人员的纪律要求</w:t>
      </w:r>
    </w:p>
    <w:p w14:paraId="2018693F">
      <w:pPr>
        <w:keepNext w:val="0"/>
        <w:keepLines w:val="0"/>
        <w:pageBreakBefore w:val="0"/>
        <w:widowControl w:val="0"/>
        <w:tabs>
          <w:tab w:val="left" w:pos="760"/>
        </w:tabs>
        <w:kinsoku/>
        <w:wordWrap w:val="0"/>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2E224D45">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9.是否采用电子招标投标</w:t>
      </w:r>
    </w:p>
    <w:p w14:paraId="38DDE780">
      <w:pPr>
        <w:keepNext w:val="0"/>
        <w:keepLines w:val="0"/>
        <w:pageBreakBefore w:val="0"/>
        <w:widowControl w:val="0"/>
        <w:tabs>
          <w:tab w:val="left" w:pos="760"/>
        </w:tabs>
        <w:kinsoku/>
        <w:wordWrap w:val="0"/>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本招标项目是否采用电子招标投标方式，见供应商须知前附表。</w:t>
      </w:r>
    </w:p>
    <w:p w14:paraId="2EC77D2F">
      <w:pPr>
        <w:keepNext w:val="0"/>
        <w:keepLines w:val="0"/>
        <w:pageBreakBefore w:val="0"/>
        <w:widowControl w:val="0"/>
        <w:kinsoku/>
        <w:wordWrap w:val="0"/>
        <w:overflowPunct/>
        <w:topLinePunct w:val="0"/>
        <w:autoSpaceDE/>
        <w:autoSpaceDN/>
        <w:bidi w:val="0"/>
        <w:adjustRightInd w:val="0"/>
        <w:spacing w:line="440" w:lineRule="exact"/>
        <w:jc w:val="left"/>
        <w:textAlignment w:val="auto"/>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10.需要补充的其他内容</w:t>
      </w:r>
    </w:p>
    <w:p w14:paraId="321FD83A">
      <w:pPr>
        <w:keepNext w:val="0"/>
        <w:keepLines w:val="0"/>
        <w:pageBreakBefore w:val="0"/>
        <w:widowControl w:val="0"/>
        <w:kinsoku/>
        <w:wordWrap w:val="0"/>
        <w:overflowPunct/>
        <w:topLinePunct w:val="0"/>
        <w:autoSpaceDE/>
        <w:autoSpaceDN/>
        <w:bidi w:val="0"/>
        <w:adjustRightIn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t>需要补充的其他内容：见供应商须知前附表</w:t>
      </w:r>
    </w:p>
    <w:p w14:paraId="35AE9AA1">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rPr>
        <w:t>1</w:t>
      </w:r>
      <w:r>
        <w:rPr>
          <w:rFonts w:hint="eastAsia" w:ascii="宋体" w:hAnsi="宋体" w:eastAsia="宋体" w:cs="宋体"/>
          <w:b/>
          <w:color w:val="auto"/>
          <w:sz w:val="28"/>
          <w:szCs w:val="28"/>
          <w:highlight w:val="none"/>
          <w:lang w:val="zh-CN"/>
        </w:rPr>
        <w:t>1. 重新招标及采购方式变更</w:t>
      </w:r>
    </w:p>
    <w:p w14:paraId="6B2B8129">
      <w:pPr>
        <w:keepNext w:val="0"/>
        <w:keepLines w:val="0"/>
        <w:pageBreakBefore w:val="0"/>
        <w:widowControl w:val="0"/>
        <w:kinsoku/>
        <w:wordWrap w:val="0"/>
        <w:overflowPunct/>
        <w:topLinePunct w:val="0"/>
        <w:autoSpaceDE/>
        <w:autoSpaceDN/>
        <w:bidi w:val="0"/>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公开招标数额标准以上的采购项目，投标截止后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不足3家或者通过资格审查或符合性审查的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不足3家的，除采购任务取消情形外，按照以下方式处理：</w:t>
      </w:r>
    </w:p>
    <w:p w14:paraId="11662F9E">
      <w:pPr>
        <w:keepNext w:val="0"/>
        <w:keepLines w:val="0"/>
        <w:pageBreakBefore w:val="0"/>
        <w:widowControl w:val="0"/>
        <w:kinsoku/>
        <w:wordWrap w:val="0"/>
        <w:overflowPunct/>
        <w:topLinePunct w:val="0"/>
        <w:autoSpaceDE/>
        <w:autoSpaceDN/>
        <w:bidi w:val="0"/>
        <w:spacing w:line="4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（1）采用公开招标采购的项目，如果</w:t>
      </w:r>
      <w:r>
        <w:rPr>
          <w:rFonts w:hint="eastAsia" w:ascii="宋体" w:hAnsi="宋体" w:eastAsia="宋体" w:cs="宋体"/>
          <w:bCs/>
          <w:color w:val="auto"/>
          <w:sz w:val="24"/>
          <w:szCs w:val="24"/>
          <w:highlight w:val="none"/>
        </w:rPr>
        <w:t>招标</w:t>
      </w:r>
      <w:r>
        <w:rPr>
          <w:rFonts w:hint="eastAsia" w:ascii="宋体" w:hAnsi="宋体" w:eastAsia="宋体" w:cs="宋体"/>
          <w:color w:val="auto"/>
          <w:kern w:val="0"/>
          <w:sz w:val="24"/>
          <w:szCs w:val="24"/>
          <w:highlight w:val="none"/>
        </w:rPr>
        <w:t>文件存在不合理条款或者招标程序不符合规定的，采购人、采购代理机构改正后依法重新招标；如果招标文件没有不合理条款、招标程序符合规定，需要采用其他采购方式采购的，采购人应当依法报财政部门批准。</w:t>
      </w:r>
    </w:p>
    <w:p w14:paraId="0F5FA9DD">
      <w:pPr>
        <w:keepNext w:val="0"/>
        <w:keepLines w:val="0"/>
        <w:pageBreakBefore w:val="0"/>
        <w:widowControl w:val="0"/>
        <w:kinsoku/>
        <w:wordWrap w:val="0"/>
        <w:overflowPunct/>
        <w:topLinePunct w:val="0"/>
        <w:autoSpaceDE/>
        <w:autoSpaceDN/>
        <w:bidi w:val="0"/>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（2）采用竞争性谈判方式采购的项目，如果</w:t>
      </w:r>
      <w:r>
        <w:rPr>
          <w:rFonts w:hint="eastAsia" w:ascii="宋体" w:hAnsi="宋体" w:eastAsia="宋体" w:cs="宋体"/>
          <w:color w:val="auto"/>
          <w:kern w:val="0"/>
          <w:sz w:val="24"/>
          <w:szCs w:val="24"/>
          <w:highlight w:val="none"/>
        </w:rPr>
        <w:t>公开招标的货物、服务采购项目，在招标过程中提交投标文件或者经评审实质性响应招标文件要求的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只有两家时，采购人拟采用非招标采购方式</w:t>
      </w:r>
      <w:r>
        <w:rPr>
          <w:rFonts w:hint="eastAsia" w:ascii="宋体" w:hAnsi="宋体" w:eastAsia="宋体" w:cs="宋体"/>
          <w:color w:val="auto"/>
          <w:sz w:val="24"/>
          <w:szCs w:val="24"/>
          <w:highlight w:val="none"/>
        </w:rPr>
        <w:t>竞争性谈判</w:t>
      </w:r>
      <w:r>
        <w:rPr>
          <w:rFonts w:hint="eastAsia" w:ascii="宋体" w:hAnsi="宋体" w:eastAsia="宋体" w:cs="宋体"/>
          <w:color w:val="auto"/>
          <w:kern w:val="0"/>
          <w:sz w:val="24"/>
          <w:szCs w:val="24"/>
          <w:highlight w:val="none"/>
        </w:rPr>
        <w:t>的，采购人应当在采购活动开始前，经主管预算单位同意后，向设区的市、自治州以上人民政府财政部门申请批准后可以与该两家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进行竞争性谈判采购，采购人、采购代理机构应当根据采购需求编制</w:t>
      </w:r>
      <w:r>
        <w:rPr>
          <w:rFonts w:hint="eastAsia" w:ascii="宋体" w:hAnsi="宋体" w:eastAsia="宋体" w:cs="宋体"/>
          <w:color w:val="auto"/>
          <w:kern w:val="0"/>
          <w:sz w:val="24"/>
          <w:szCs w:val="24"/>
          <w:highlight w:val="none"/>
          <w:lang w:eastAsia="zh-CN"/>
        </w:rPr>
        <w:t>谈判文件</w:t>
      </w:r>
      <w:r>
        <w:rPr>
          <w:rFonts w:hint="eastAsia" w:ascii="宋体" w:hAnsi="宋体" w:eastAsia="宋体" w:cs="宋体"/>
          <w:color w:val="auto"/>
          <w:kern w:val="0"/>
          <w:sz w:val="24"/>
          <w:szCs w:val="24"/>
          <w:highlight w:val="none"/>
        </w:rPr>
        <w:t>，成立谈判小组，由谈判小组对</w:t>
      </w:r>
      <w:r>
        <w:rPr>
          <w:rFonts w:hint="eastAsia" w:ascii="宋体" w:hAnsi="宋体" w:eastAsia="宋体" w:cs="宋体"/>
          <w:color w:val="auto"/>
          <w:kern w:val="0"/>
          <w:sz w:val="24"/>
          <w:szCs w:val="24"/>
          <w:highlight w:val="none"/>
          <w:lang w:eastAsia="zh-CN"/>
        </w:rPr>
        <w:t>谈判文件</w:t>
      </w:r>
      <w:r>
        <w:rPr>
          <w:rFonts w:hint="eastAsia" w:ascii="宋体" w:hAnsi="宋体" w:eastAsia="宋体" w:cs="宋体"/>
          <w:color w:val="auto"/>
          <w:kern w:val="0"/>
          <w:sz w:val="24"/>
          <w:szCs w:val="24"/>
          <w:highlight w:val="none"/>
        </w:rPr>
        <w:t>进行确认。符合本款情形的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最低数量可以为两家。</w:t>
      </w:r>
    </w:p>
    <w:p w14:paraId="20ACAB2C">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（3）采用单一来源方式采购的项目，如果</w:t>
      </w:r>
      <w:r>
        <w:rPr>
          <w:rFonts w:hint="eastAsia" w:ascii="宋体" w:hAnsi="宋体" w:eastAsia="宋体" w:cs="宋体"/>
          <w:color w:val="auto"/>
          <w:kern w:val="0"/>
          <w:sz w:val="24"/>
          <w:szCs w:val="24"/>
          <w:highlight w:val="none"/>
        </w:rPr>
        <w:t>公开招标的货物、服务采购项目，在招标过程中提交投标文件或者经评审实质性响应招标文件要求的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只有一家时，</w:t>
      </w:r>
      <w:r>
        <w:rPr>
          <w:rFonts w:hint="eastAsia" w:ascii="宋体" w:hAnsi="宋体" w:eastAsia="宋体" w:cs="宋体"/>
          <w:color w:val="auto"/>
          <w:sz w:val="24"/>
          <w:szCs w:val="24"/>
          <w:highlight w:val="none"/>
        </w:rPr>
        <w:t>不得直接变更为单一来源方式采购，</w:t>
      </w:r>
      <w:r>
        <w:rPr>
          <w:rFonts w:hint="eastAsia" w:ascii="宋体" w:hAnsi="宋体" w:eastAsia="宋体" w:cs="宋体"/>
          <w:color w:val="auto"/>
          <w:kern w:val="0"/>
          <w:sz w:val="24"/>
          <w:szCs w:val="24"/>
          <w:highlight w:val="none"/>
        </w:rPr>
        <w:t>采购人拟采用非招标采购方式</w:t>
      </w:r>
      <w:r>
        <w:rPr>
          <w:rFonts w:hint="eastAsia" w:ascii="宋体" w:hAnsi="宋体" w:eastAsia="宋体" w:cs="宋体"/>
          <w:color w:val="auto"/>
          <w:sz w:val="24"/>
          <w:szCs w:val="24"/>
          <w:highlight w:val="none"/>
        </w:rPr>
        <w:t>单一来源</w:t>
      </w:r>
      <w:r>
        <w:rPr>
          <w:rFonts w:hint="eastAsia" w:ascii="宋体" w:hAnsi="宋体" w:eastAsia="宋体" w:cs="宋体"/>
          <w:color w:val="auto"/>
          <w:kern w:val="0"/>
          <w:sz w:val="24"/>
          <w:szCs w:val="24"/>
          <w:highlight w:val="none"/>
        </w:rPr>
        <w:t>的，采购人、采购代理机构应当先做废标处理，然后经主管预算单位同意后，向设区的市、自治州以上人民政府财政部门申请批准前在省级以上财政部门指定媒体上公示，并将公示情况一并报财政部门，公示期不得少于5个工作日。</w:t>
      </w:r>
    </w:p>
    <w:p w14:paraId="2BC6830D">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8"/>
          <w:szCs w:val="28"/>
          <w:highlight w:val="none"/>
        </w:rPr>
        <w:t>12.</w:t>
      </w:r>
      <w:r>
        <w:rPr>
          <w:rFonts w:hint="eastAsia" w:ascii="宋体" w:hAnsi="宋体" w:eastAsia="宋体" w:cs="宋体"/>
          <w:b/>
          <w:bCs/>
          <w:color w:val="auto"/>
          <w:sz w:val="28"/>
          <w:szCs w:val="28"/>
          <w:highlight w:val="none"/>
        </w:rPr>
        <w:t>质疑</w:t>
      </w:r>
    </w:p>
    <w:p w14:paraId="3DD97A83">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对采购活动及有关事项有质疑的，可以向采购人或采购代理机构提出询问或质疑，但应符合相关法律法规的规定。</w:t>
      </w:r>
    </w:p>
    <w:p w14:paraId="5A9B686F">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认为采购文件、采购过程和中标、成交结果使自己的权益受到损害的，可以在知道或者应知其权益受到损害之日起七个工作日内，</w:t>
      </w:r>
      <w:r>
        <w:rPr>
          <w:rFonts w:hint="eastAsia" w:ascii="宋体" w:hAnsi="宋体" w:eastAsia="宋体" w:cs="宋体"/>
          <w:color w:val="auto"/>
          <w:sz w:val="24"/>
          <w:szCs w:val="24"/>
          <w:highlight w:val="none"/>
          <w:lang w:eastAsia="zh-CN"/>
        </w:rPr>
        <w:t>“政采云”平台(</w:t>
      </w:r>
      <w:r>
        <w:rPr>
          <w:rFonts w:hint="eastAsia" w:ascii="宋体" w:hAnsi="宋体" w:cs="宋体"/>
          <w:color w:val="auto"/>
          <w:sz w:val="24"/>
          <w:szCs w:val="24"/>
          <w:highlight w:val="none"/>
          <w:lang w:eastAsia="zh-CN"/>
        </w:rPr>
        <w:t>https://www.zcygov.cn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问的形式向采购人或采购代理机构提出质疑，并在法定质疑期内一次性提出针对同一采购程序环节的质疑，同时将书面质疑送至采购人或采购代理机构。网站质疑和书面质疑均应在质疑期内送至采购人或采购代理机构，否则采购人或采购代理机构视其质疑为无效，接收质疑函的联系部门、联系电话和通讯地址等信息详见招标公告中的采购人信息或采购代理机构信息。</w:t>
      </w:r>
    </w:p>
    <w:p w14:paraId="073666FE">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 采购人或采购代理机构应在收到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网站质疑和书面质疑后七个工作日内作出答复，</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应自主在网上查看，同时通知质疑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领取书面回复和通知其他有关</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，但回复内容不涉及商业秘密。</w:t>
      </w:r>
    </w:p>
    <w:p w14:paraId="32B928EF">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.4 对采购代理机构提出质疑的，若质疑内容超出招标代理范围的，应明确告知质疑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向采购人提出质疑或协调采购人答复质疑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03EE7EF2">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质疑应当按照（财政部94号令）《政府采购质疑和投诉办法》规定执行，否则采购人或采购代理机构有权拒绝。</w:t>
      </w:r>
    </w:p>
    <w:p w14:paraId="3D2CB91D">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.投诉</w:t>
      </w:r>
    </w:p>
    <w:p w14:paraId="2FB0463B">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 已提出质疑的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对答复内容不满意或采购人未在规定时间内作出答复的，可以在答复期满后十五个工作日内向同级政府采购监督管理部门投诉。</w:t>
      </w:r>
    </w:p>
    <w:p w14:paraId="2D5F53AF">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 投诉应当按照（财政部94号令）《政府采购质疑和投诉办法》规定执行，否则监督部门有权拒绝受理。</w:t>
      </w:r>
    </w:p>
    <w:p w14:paraId="1FFBEDD1">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投诉事项必须与质疑事项保持一致，不得超出质疑事项范围。</w:t>
      </w:r>
    </w:p>
    <w:p w14:paraId="4E057AF3">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.4 监督部门受理投诉后可以进行调查取证或抄送有关单位进行质证，并在三十个工作日内对投诉事项作出处理决定，并以书面方式通知投诉人与投诉事项有关的当事人。</w:t>
      </w:r>
    </w:p>
    <w:p w14:paraId="35DA916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.5 投诉人对政府采购监督管理部门的投诉处理决定不服或者政府采购监督管理部门逾期未作出处理的，可以依法申请行政复议或者向人民法院提起行政诉讼。</w:t>
      </w:r>
    </w:p>
    <w:p w14:paraId="7C7E873B">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1</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验收</w:t>
      </w:r>
    </w:p>
    <w:p w14:paraId="5CAF95A3">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采购人可以邀请参加本项目的其他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或者第三方机构参与验收。参与验收的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或者第三方机构的意见作为验收书的参考资料一并存档</w:t>
      </w:r>
      <w:bookmarkStart w:id="13" w:name="_Toc98580422"/>
      <w:bookmarkStart w:id="14" w:name="_Toc24696155"/>
      <w:r>
        <w:rPr>
          <w:rFonts w:hint="eastAsia" w:ascii="宋体" w:hAnsi="宋体" w:eastAsia="宋体" w:cs="宋体"/>
          <w:color w:val="auto"/>
          <w:sz w:val="24"/>
          <w:szCs w:val="24"/>
          <w:highlight w:val="yellow"/>
          <w:lang w:eastAsia="zh-CN"/>
        </w:rPr>
        <w:t>，具体以实际签订合同为准</w:t>
      </w:r>
      <w:r>
        <w:rPr>
          <w:rFonts w:hint="eastAsia" w:ascii="宋体" w:hAnsi="宋体" w:cs="宋体"/>
          <w:color w:val="auto"/>
          <w:sz w:val="24"/>
          <w:szCs w:val="24"/>
          <w:highlight w:val="yellow"/>
          <w:lang w:eastAsia="zh-CN"/>
        </w:rPr>
        <w:t>。</w:t>
      </w:r>
      <w:r>
        <w:rPr>
          <w:rFonts w:hint="eastAsia" w:ascii="宋体" w:hAnsi="宋体" w:eastAsia="宋体" w:cs="宋体"/>
          <w:color w:val="auto"/>
          <w:sz w:val="24"/>
          <w:szCs w:val="24"/>
          <w:highlight w:val="none"/>
        </w:rPr>
        <w:br w:type="page"/>
      </w:r>
    </w:p>
    <w:p w14:paraId="23C5C5C6">
      <w:pPr>
        <w:rPr>
          <w:rFonts w:hint="eastAsia" w:ascii="宋体" w:hAnsi="宋体" w:eastAsia="宋体" w:cs="宋体"/>
          <w:color w:val="auto"/>
          <w:highlight w:val="none"/>
        </w:rPr>
      </w:pPr>
    </w:p>
    <w:p w14:paraId="62AD77B4">
      <w:pPr>
        <w:pStyle w:val="4"/>
        <w:spacing w:before="0" w:after="0" w:line="360" w:lineRule="auto"/>
        <w:jc w:val="center"/>
        <w:rPr>
          <w:rFonts w:hint="eastAsia" w:ascii="宋体" w:hAnsi="宋体" w:eastAsia="宋体" w:cs="宋体"/>
          <w:color w:val="auto"/>
          <w:sz w:val="30"/>
          <w:szCs w:val="30"/>
          <w:highlight w:val="none"/>
        </w:rPr>
      </w:pPr>
      <w:bookmarkStart w:id="15" w:name="_Toc8440"/>
      <w:r>
        <w:rPr>
          <w:rFonts w:hint="eastAsia" w:ascii="宋体" w:hAnsi="宋体" w:eastAsia="宋体" w:cs="宋体"/>
          <w:color w:val="auto"/>
          <w:highlight w:val="none"/>
        </w:rPr>
        <w:t>第三部分  评标办法</w:t>
      </w:r>
      <w:bookmarkEnd w:id="15"/>
    </w:p>
    <w:p w14:paraId="54C8AC0F">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按照国家相关部门的规定，遵循公开、公平、公正和诚实信用的原则，结合本招标项目的实际情况，制定本招标项目评标办法。</w:t>
      </w:r>
    </w:p>
    <w:p w14:paraId="28F67D5C">
      <w:pPr>
        <w:spacing w:line="440" w:lineRule="exact"/>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一、评标程序</w:t>
      </w:r>
    </w:p>
    <w:p w14:paraId="2422EACA">
      <w:pPr>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（一）组成评标委员会</w:t>
      </w:r>
    </w:p>
    <w:p w14:paraId="7B02BA83">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按照国家有关部委及省、市的相关规定，</w:t>
      </w:r>
      <w:r>
        <w:rPr>
          <w:rFonts w:hint="eastAsia" w:ascii="宋体" w:hAnsi="宋体" w:cs="宋体"/>
          <w:color w:val="auto"/>
          <w:sz w:val="24"/>
          <w:szCs w:val="24"/>
          <w:highlight w:val="none"/>
          <w:lang w:val="en-US" w:eastAsia="zh-CN"/>
        </w:rPr>
        <w:t>由采购人代表0-1人及</w:t>
      </w:r>
      <w:r>
        <w:rPr>
          <w:rFonts w:hint="eastAsia" w:ascii="宋体" w:hAnsi="宋体" w:eastAsia="宋体" w:cs="宋体"/>
          <w:color w:val="auto"/>
          <w:sz w:val="24"/>
          <w:szCs w:val="24"/>
          <w:highlight w:val="none"/>
        </w:rPr>
        <w:t>从专家库中随机抽取技术、经济等方面的专家</w:t>
      </w:r>
      <w:r>
        <w:rPr>
          <w:rFonts w:hint="eastAsia" w:ascii="宋体" w:hAnsi="宋体" w:cs="宋体"/>
          <w:color w:val="auto"/>
          <w:sz w:val="24"/>
          <w:szCs w:val="24"/>
          <w:highlight w:val="none"/>
          <w:lang w:val="en-US" w:eastAsia="zh-CN"/>
        </w:rPr>
        <w:t>4-5人</w:t>
      </w:r>
      <w:r>
        <w:rPr>
          <w:rFonts w:hint="eastAsia" w:ascii="宋体" w:hAnsi="宋体" w:eastAsia="宋体" w:cs="宋体"/>
          <w:color w:val="auto"/>
          <w:sz w:val="24"/>
          <w:szCs w:val="24"/>
          <w:highlight w:val="none"/>
        </w:rPr>
        <w:t>共5人组成评标委员会（以下简称“评委会”）。为保证评标工作的顺利进行，推荐一名评委担任评委会主任，负责评标全面工作。</w:t>
      </w:r>
    </w:p>
    <w:p w14:paraId="153B194C">
      <w:pPr>
        <w:pStyle w:val="89"/>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（二）评审方法：综合评分法</w:t>
      </w:r>
    </w:p>
    <w:p w14:paraId="5D41BCF3">
      <w:pPr>
        <w:spacing w:line="44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综合评分法，是指投标文件满足招标文件全部实质性要求，且按照评审因素的量化指标评审得分最高的供应商为中标候选人的评标方法。</w:t>
      </w:r>
    </w:p>
    <w:p w14:paraId="2F667B00">
      <w:pPr>
        <w:pStyle w:val="89"/>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（三）评标工作</w:t>
      </w:r>
    </w:p>
    <w:p w14:paraId="5F9D75C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评标本着客观公正、公平竞争、择优推荐、规范合法的原则进行。评标工作分为</w:t>
      </w:r>
      <w:r>
        <w:rPr>
          <w:rFonts w:hint="eastAsia" w:ascii="宋体" w:hAnsi="宋体" w:cs="宋体"/>
          <w:color w:val="auto"/>
          <w:sz w:val="24"/>
          <w:szCs w:val="24"/>
          <w:highlight w:val="none"/>
          <w:lang w:val="en-US" w:eastAsia="zh-CN"/>
        </w:rPr>
        <w:t>形式评审、</w:t>
      </w:r>
      <w:r>
        <w:rPr>
          <w:rFonts w:hint="eastAsia" w:ascii="宋体" w:hAnsi="宋体" w:eastAsia="宋体" w:cs="宋体"/>
          <w:color w:val="auto"/>
          <w:sz w:val="24"/>
          <w:szCs w:val="24"/>
          <w:highlight w:val="none"/>
        </w:rPr>
        <w:t>资格</w:t>
      </w:r>
      <w:r>
        <w:rPr>
          <w:rFonts w:hint="eastAsia" w:ascii="宋体" w:hAnsi="宋体" w:cs="宋体"/>
          <w:color w:val="auto"/>
          <w:sz w:val="24"/>
          <w:szCs w:val="24"/>
          <w:highlight w:val="none"/>
          <w:lang w:val="en-US" w:eastAsia="zh-CN"/>
        </w:rPr>
        <w:t>评审响应</w:t>
      </w:r>
      <w:r>
        <w:rPr>
          <w:rFonts w:hint="eastAsia" w:ascii="宋体" w:hAnsi="宋体" w:eastAsia="宋体" w:cs="宋体"/>
          <w:color w:val="auto"/>
          <w:sz w:val="24"/>
          <w:szCs w:val="24"/>
          <w:highlight w:val="none"/>
        </w:rPr>
        <w:t>性</w:t>
      </w:r>
      <w:r>
        <w:rPr>
          <w:rFonts w:hint="eastAsia" w:ascii="宋体" w:hAnsi="宋体" w:cs="宋体"/>
          <w:color w:val="auto"/>
          <w:sz w:val="24"/>
          <w:szCs w:val="24"/>
          <w:highlight w:val="none"/>
          <w:lang w:val="en-US" w:eastAsia="zh-CN"/>
        </w:rPr>
        <w:t>评审</w:t>
      </w:r>
      <w:r>
        <w:rPr>
          <w:rFonts w:hint="eastAsia" w:ascii="宋体" w:hAnsi="宋体" w:eastAsia="宋体" w:cs="宋体"/>
          <w:color w:val="auto"/>
          <w:sz w:val="24"/>
          <w:szCs w:val="24"/>
          <w:highlight w:val="none"/>
        </w:rPr>
        <w:t>和详细评审三个步骤。</w:t>
      </w:r>
    </w:p>
    <w:p w14:paraId="1F1947C6">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.资格</w:t>
      </w:r>
      <w:r>
        <w:rPr>
          <w:rFonts w:hint="eastAsia" w:ascii="宋体" w:hAnsi="宋体" w:cs="宋体"/>
          <w:color w:val="auto"/>
          <w:sz w:val="24"/>
          <w:szCs w:val="24"/>
          <w:highlight w:val="none"/>
          <w:lang w:val="en-US" w:eastAsia="zh-CN"/>
        </w:rPr>
        <w:t>评</w:t>
      </w:r>
      <w:r>
        <w:rPr>
          <w:rFonts w:hint="eastAsia" w:ascii="宋体" w:hAnsi="宋体" w:eastAsia="宋体" w:cs="宋体"/>
          <w:color w:val="auto"/>
          <w:sz w:val="24"/>
          <w:szCs w:val="24"/>
          <w:highlight w:val="none"/>
        </w:rPr>
        <w:t>审。采购人或代理机构对各供应商的资格进行</w:t>
      </w:r>
      <w:r>
        <w:rPr>
          <w:rFonts w:hint="eastAsia" w:ascii="宋体" w:hAnsi="宋体" w:cs="宋体"/>
          <w:color w:val="auto"/>
          <w:sz w:val="24"/>
          <w:szCs w:val="24"/>
          <w:highlight w:val="none"/>
          <w:lang w:val="en-US" w:eastAsia="zh-CN"/>
        </w:rPr>
        <w:t>评审</w:t>
      </w:r>
      <w:r>
        <w:rPr>
          <w:rFonts w:hint="eastAsia" w:ascii="宋体" w:hAnsi="宋体" w:eastAsia="宋体" w:cs="宋体"/>
          <w:color w:val="auto"/>
          <w:sz w:val="24"/>
          <w:szCs w:val="24"/>
          <w:highlight w:val="none"/>
        </w:rPr>
        <w:t>。资格</w:t>
      </w:r>
      <w:r>
        <w:rPr>
          <w:rFonts w:hint="eastAsia" w:ascii="宋体" w:hAnsi="宋体" w:cs="宋体"/>
          <w:color w:val="auto"/>
          <w:sz w:val="24"/>
          <w:szCs w:val="24"/>
          <w:highlight w:val="none"/>
          <w:lang w:val="en-US" w:eastAsia="zh-CN"/>
        </w:rPr>
        <w:t>评审</w:t>
      </w:r>
      <w:r>
        <w:rPr>
          <w:rFonts w:hint="eastAsia" w:ascii="宋体" w:hAnsi="宋体" w:eastAsia="宋体" w:cs="宋体"/>
          <w:color w:val="auto"/>
          <w:sz w:val="24"/>
          <w:szCs w:val="24"/>
          <w:highlight w:val="none"/>
        </w:rPr>
        <w:t>合格的供应商方可进入</w:t>
      </w:r>
      <w:r>
        <w:rPr>
          <w:rFonts w:hint="eastAsia" w:ascii="宋体" w:hAnsi="宋体" w:cs="宋体"/>
          <w:color w:val="auto"/>
          <w:sz w:val="24"/>
          <w:szCs w:val="24"/>
          <w:highlight w:val="none"/>
          <w:lang w:val="en-US" w:eastAsia="zh-CN"/>
        </w:rPr>
        <w:t>符合性评审</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不具备招标文件中规定的资格要求的，投标无效。合格供应商不足3家的，不得评标。</w:t>
      </w:r>
    </w:p>
    <w:p w14:paraId="66256F95">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符合性评审</w:t>
      </w:r>
      <w:r>
        <w:rPr>
          <w:rFonts w:hint="eastAsia" w:ascii="宋体" w:hAnsi="宋体" w:eastAsia="宋体" w:cs="宋体"/>
          <w:color w:val="auto"/>
          <w:sz w:val="24"/>
          <w:szCs w:val="24"/>
          <w:highlight w:val="none"/>
        </w:rPr>
        <w:t>。评委会对供应商的投标文件进行符合性审查。符合性审查合格的供应商方可进入详细评审。</w:t>
      </w:r>
      <w:r>
        <w:rPr>
          <w:rFonts w:hint="eastAsia" w:ascii="宋体" w:hAnsi="宋体" w:eastAsia="宋体" w:cs="宋体"/>
          <w:color w:val="auto"/>
          <w:sz w:val="24"/>
          <w:highlight w:val="none"/>
        </w:rPr>
        <w:t>有一项不符合的，投标无效。</w:t>
      </w:r>
    </w:p>
    <w:p w14:paraId="72FE5B8C">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.1</w:t>
      </w:r>
      <w:r>
        <w:rPr>
          <w:rFonts w:hint="eastAsia" w:ascii="宋体" w:hAnsi="宋体" w:eastAsia="宋体" w:cs="宋体"/>
          <w:bCs/>
          <w:color w:val="auto"/>
          <w:sz w:val="24"/>
          <w:highlight w:val="none"/>
        </w:rPr>
        <w:t>政府采购应当采购本国货物。按照财政部《政府采购进口产品管理办法》规定确需采购进口产品的，实行审核管理。经审核允许采购进口产品的，不得排斥符合要求的本国产品。在</w:t>
      </w:r>
      <w:r>
        <w:rPr>
          <w:rFonts w:hint="eastAsia" w:ascii="宋体" w:hAnsi="宋体" w:eastAsia="宋体" w:cs="宋体"/>
          <w:color w:val="auto"/>
          <w:sz w:val="24"/>
          <w:highlight w:val="none"/>
        </w:rPr>
        <w:t>招标文件</w:t>
      </w:r>
      <w:r>
        <w:rPr>
          <w:rFonts w:hint="eastAsia" w:ascii="宋体" w:hAnsi="宋体" w:eastAsia="宋体" w:cs="宋体"/>
          <w:bCs/>
          <w:color w:val="auto"/>
          <w:sz w:val="24"/>
          <w:highlight w:val="none"/>
        </w:rPr>
        <w:t>中未标明采购进口产品的，均为采购本国产品。供应商必须投标本国产品，投标进口产品的，投标无效。进口产品是指通过中国海关报关验放进入中国境内且产自关境外的产品。</w:t>
      </w:r>
    </w:p>
    <w:p w14:paraId="7EA5C8FC">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核心产品</w:t>
      </w:r>
      <w:r>
        <w:rPr>
          <w:rFonts w:hint="eastAsia" w:ascii="宋体" w:hAnsi="宋体" w:eastAsia="宋体" w:cs="宋体"/>
          <w:color w:val="auto"/>
          <w:sz w:val="24"/>
          <w:highlight w:val="none"/>
        </w:rPr>
        <w:t>提供相同品牌</w:t>
      </w:r>
      <w:r>
        <w:rPr>
          <w:rFonts w:hint="eastAsia" w:ascii="宋体" w:hAnsi="宋体" w:cs="宋体"/>
          <w:color w:val="auto"/>
          <w:sz w:val="24"/>
          <w:highlight w:val="none"/>
          <w:lang w:eastAsia="zh-CN"/>
        </w:rPr>
        <w:t>、相同型号</w:t>
      </w:r>
      <w:r>
        <w:rPr>
          <w:rFonts w:hint="eastAsia" w:ascii="宋体" w:hAnsi="宋体" w:eastAsia="宋体" w:cs="宋体"/>
          <w:color w:val="auto"/>
          <w:sz w:val="24"/>
          <w:highlight w:val="none"/>
        </w:rPr>
        <w:t>且通过资格审查、符合性审查的不同</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参加同一合同项下投标的，按一家</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计算，评审后得分最高的同品牌</w:t>
      </w:r>
      <w:r>
        <w:rPr>
          <w:rFonts w:hint="eastAsia" w:ascii="宋体" w:hAnsi="宋体" w:cs="宋体"/>
          <w:color w:val="auto"/>
          <w:sz w:val="24"/>
          <w:highlight w:val="none"/>
          <w:lang w:eastAsia="zh-CN"/>
        </w:rPr>
        <w:t>同型号</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获得中标人推荐资格；评审得分相同的，参照5.1规定确定一个</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获得中标人推荐资格，其他同品牌</w:t>
      </w:r>
      <w:r>
        <w:rPr>
          <w:rFonts w:hint="eastAsia" w:ascii="宋体" w:hAnsi="宋体" w:cs="宋体"/>
          <w:color w:val="auto"/>
          <w:sz w:val="24"/>
          <w:highlight w:val="none"/>
          <w:lang w:eastAsia="zh-CN"/>
        </w:rPr>
        <w:t>同型号</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不作为中标候选人。符合性审查后，因提供相同品牌</w:t>
      </w:r>
      <w:r>
        <w:rPr>
          <w:rFonts w:hint="eastAsia" w:ascii="宋体" w:hAnsi="宋体" w:cs="宋体"/>
          <w:color w:val="auto"/>
          <w:sz w:val="24"/>
          <w:highlight w:val="none"/>
          <w:lang w:eastAsia="zh-CN"/>
        </w:rPr>
        <w:t>、相同型号</w:t>
      </w:r>
      <w:r>
        <w:rPr>
          <w:rFonts w:hint="eastAsia" w:ascii="宋体" w:hAnsi="宋体" w:eastAsia="宋体" w:cs="宋体"/>
          <w:color w:val="auto"/>
          <w:sz w:val="24"/>
          <w:highlight w:val="none"/>
        </w:rPr>
        <w:t>产品的不同</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按一家计算而导致有效</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不足3家的，应予废标。</w:t>
      </w:r>
    </w:p>
    <w:p w14:paraId="07485B8C">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.详细评审。详细评审采用综合评分法。评委依据评标办法分别对各供应商的投标文件进行评审、赋分。如果通过资格</w:t>
      </w:r>
      <w:r>
        <w:rPr>
          <w:rFonts w:hint="eastAsia" w:ascii="宋体" w:hAnsi="宋体" w:cs="宋体"/>
          <w:color w:val="auto"/>
          <w:sz w:val="24"/>
          <w:szCs w:val="24"/>
          <w:highlight w:val="none"/>
          <w:lang w:val="en-US" w:eastAsia="zh-CN"/>
        </w:rPr>
        <w:t>评审</w:t>
      </w:r>
      <w:r>
        <w:rPr>
          <w:rFonts w:hint="eastAsia" w:ascii="宋体" w:hAnsi="宋体" w:eastAsia="宋体" w:cs="宋体"/>
          <w:color w:val="auto"/>
          <w:sz w:val="24"/>
          <w:szCs w:val="24"/>
          <w:highlight w:val="none"/>
        </w:rPr>
        <w:t>和符合性</w:t>
      </w:r>
      <w:r>
        <w:rPr>
          <w:rFonts w:hint="eastAsia" w:ascii="宋体" w:hAnsi="宋体" w:cs="宋体"/>
          <w:color w:val="auto"/>
          <w:sz w:val="24"/>
          <w:szCs w:val="24"/>
          <w:highlight w:val="none"/>
          <w:lang w:val="en-US" w:eastAsia="zh-CN"/>
        </w:rPr>
        <w:t>评审</w:t>
      </w:r>
      <w:r>
        <w:rPr>
          <w:rFonts w:hint="eastAsia" w:ascii="宋体" w:hAnsi="宋体" w:eastAsia="宋体" w:cs="宋体"/>
          <w:color w:val="auto"/>
          <w:sz w:val="24"/>
          <w:szCs w:val="24"/>
          <w:highlight w:val="none"/>
        </w:rPr>
        <w:t>的供应商不足三家，则采购人重新招标。</w:t>
      </w:r>
    </w:p>
    <w:p w14:paraId="5E20C8AA">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（四）询标（必要时）</w:t>
      </w:r>
    </w:p>
    <w:p w14:paraId="4033C85C">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评标委员会对投标文件需要澄清的问题，采用集体询标方式进行。</w:t>
      </w:r>
    </w:p>
    <w:p w14:paraId="74878421">
      <w:pPr>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（五）推荐中标候选人</w:t>
      </w:r>
    </w:p>
    <w:p w14:paraId="6D8613B5">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5.1汇总各评委得分,</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最终得分按各位评委打分平均值计取,保留小数点后两位。评标结果按评审后得分由高到低顺序排列。得分相同的，按投标报价由低到高顺序排列。得分且投标报价相同的并列。投标文件满足招标文件全部实质性要求，且按照评审因素的量化指标评审得分最高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为排名第一的中标候选人。评标委员会根据综合评审结果，按照综合得分由高到低的顺序，推荐三名中标候选</w:t>
      </w:r>
      <w:r>
        <w:rPr>
          <w:rFonts w:hint="eastAsia" w:ascii="宋体" w:hAnsi="宋体" w:eastAsia="宋体" w:cs="宋体"/>
          <w:color w:val="auto"/>
          <w:sz w:val="24"/>
          <w:highlight w:val="yellow"/>
        </w:rPr>
        <w:t>人，</w:t>
      </w:r>
      <w:r>
        <w:rPr>
          <w:rFonts w:hint="eastAsia" w:ascii="宋体" w:hAnsi="宋体" w:cs="宋体"/>
          <w:color w:val="auto"/>
          <w:sz w:val="24"/>
          <w:highlight w:val="yellow"/>
          <w:lang w:val="en-US" w:eastAsia="zh-CN"/>
        </w:rPr>
        <w:t>并</w:t>
      </w:r>
      <w:r>
        <w:rPr>
          <w:rFonts w:hint="eastAsia" w:ascii="宋体" w:hAnsi="宋体" w:eastAsia="宋体" w:cs="宋体"/>
          <w:color w:val="auto"/>
          <w:sz w:val="24"/>
          <w:highlight w:val="yellow"/>
        </w:rPr>
        <w:t>确定排名第一的供应商为中标人。</w:t>
      </w:r>
    </w:p>
    <w:p w14:paraId="75ECAC56">
      <w:pPr>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5.2评标委员会成员对需要共同认定的事项存在争议的，应当按照少数服从多数的原则作出结论。持不同意见的评标委员会成员应当在评标报告上签署不同意见及理由，否则视为同意评标报告。</w:t>
      </w:r>
    </w:p>
    <w:p w14:paraId="79E1DCDD">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7C04B3F">
      <w:pPr>
        <w:spacing w:line="440" w:lineRule="exact"/>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二、评标办法和标准</w:t>
      </w:r>
    </w:p>
    <w:p w14:paraId="65977B7E">
      <w:pPr>
        <w:spacing w:line="440" w:lineRule="exact"/>
        <w:jc w:val="both"/>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一</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资格评审</w:t>
      </w:r>
    </w:p>
    <w:tbl>
      <w:tblPr>
        <w:tblStyle w:val="45"/>
        <w:tblW w:w="51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697"/>
        <w:gridCol w:w="6365"/>
      </w:tblGrid>
      <w:tr w14:paraId="250C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6" w:type="pct"/>
            <w:vMerge w:val="restart"/>
            <w:vAlign w:val="center"/>
          </w:tcPr>
          <w:p w14:paraId="1A76385B">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序号</w:t>
            </w:r>
          </w:p>
        </w:tc>
        <w:tc>
          <w:tcPr>
            <w:tcW w:w="973" w:type="pct"/>
            <w:vMerge w:val="restart"/>
            <w:vAlign w:val="center"/>
          </w:tcPr>
          <w:p w14:paraId="526DB138">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评审因素</w:t>
            </w:r>
          </w:p>
        </w:tc>
        <w:tc>
          <w:tcPr>
            <w:tcW w:w="3649" w:type="pct"/>
            <w:vMerge w:val="restart"/>
            <w:vAlign w:val="center"/>
          </w:tcPr>
          <w:p w14:paraId="49599767">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评审标准</w:t>
            </w:r>
          </w:p>
        </w:tc>
      </w:tr>
      <w:tr w14:paraId="5A31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6" w:type="pct"/>
            <w:vMerge w:val="continue"/>
            <w:vAlign w:val="center"/>
          </w:tcPr>
          <w:p w14:paraId="0714E2DF">
            <w:pPr>
              <w:keepNext w:val="0"/>
              <w:keepLines w:val="0"/>
              <w:pageBreakBefore w:val="0"/>
              <w:kinsoku/>
              <w:wordWrap/>
              <w:overflowPunct/>
              <w:topLinePunct w:val="0"/>
              <w:autoSpaceDE w:val="0"/>
              <w:autoSpaceDN w:val="0"/>
              <w:bidi w:val="0"/>
              <w:adjustRightInd w:val="0"/>
              <w:snapToGrid/>
              <w:spacing w:line="0" w:lineRule="atLeast"/>
              <w:jc w:val="center"/>
              <w:textAlignment w:val="auto"/>
              <w:rPr>
                <w:rFonts w:hint="eastAsia" w:ascii="宋体" w:hAnsi="宋体" w:eastAsia="宋体" w:cs="宋体"/>
                <w:color w:val="auto"/>
                <w:sz w:val="24"/>
                <w:szCs w:val="24"/>
                <w:highlight w:val="none"/>
                <w:lang w:val="zh-CN"/>
              </w:rPr>
            </w:pPr>
          </w:p>
        </w:tc>
        <w:tc>
          <w:tcPr>
            <w:tcW w:w="973" w:type="pct"/>
            <w:vMerge w:val="continue"/>
            <w:vAlign w:val="center"/>
          </w:tcPr>
          <w:p w14:paraId="2FF98651">
            <w:pPr>
              <w:keepNext w:val="0"/>
              <w:keepLines w:val="0"/>
              <w:pageBreakBefore w:val="0"/>
              <w:kinsoku/>
              <w:wordWrap/>
              <w:overflowPunct/>
              <w:topLinePunct w:val="0"/>
              <w:autoSpaceDE w:val="0"/>
              <w:autoSpaceDN w:val="0"/>
              <w:bidi w:val="0"/>
              <w:adjustRightInd w:val="0"/>
              <w:snapToGrid/>
              <w:spacing w:line="0" w:lineRule="atLeast"/>
              <w:jc w:val="center"/>
              <w:textAlignment w:val="auto"/>
              <w:rPr>
                <w:rFonts w:hint="eastAsia" w:ascii="宋体" w:hAnsi="宋体" w:eastAsia="宋体" w:cs="宋体"/>
                <w:color w:val="auto"/>
                <w:sz w:val="24"/>
                <w:szCs w:val="24"/>
                <w:highlight w:val="none"/>
                <w:lang w:val="zh-CN"/>
              </w:rPr>
            </w:pPr>
          </w:p>
        </w:tc>
        <w:tc>
          <w:tcPr>
            <w:tcW w:w="3649" w:type="pct"/>
            <w:vMerge w:val="continue"/>
            <w:vAlign w:val="center"/>
          </w:tcPr>
          <w:p w14:paraId="0EF11C0F">
            <w:pPr>
              <w:keepNext w:val="0"/>
              <w:keepLines w:val="0"/>
              <w:pageBreakBefore w:val="0"/>
              <w:kinsoku/>
              <w:wordWrap/>
              <w:overflowPunct/>
              <w:topLinePunct w:val="0"/>
              <w:autoSpaceDE w:val="0"/>
              <w:autoSpaceDN w:val="0"/>
              <w:bidi w:val="0"/>
              <w:adjustRightInd w:val="0"/>
              <w:snapToGrid/>
              <w:spacing w:line="0" w:lineRule="atLeast"/>
              <w:jc w:val="center"/>
              <w:textAlignment w:val="auto"/>
              <w:rPr>
                <w:rFonts w:hint="eastAsia" w:ascii="宋体" w:hAnsi="宋体" w:eastAsia="宋体" w:cs="宋体"/>
                <w:color w:val="auto"/>
                <w:sz w:val="24"/>
                <w:szCs w:val="24"/>
                <w:highlight w:val="none"/>
                <w:lang w:val="zh-CN"/>
              </w:rPr>
            </w:pPr>
          </w:p>
        </w:tc>
      </w:tr>
      <w:tr w14:paraId="7091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76" w:type="pct"/>
            <w:vAlign w:val="center"/>
          </w:tcPr>
          <w:p w14:paraId="280390B9">
            <w:pPr>
              <w:keepNext w:val="0"/>
              <w:keepLines w:val="0"/>
              <w:pageBreakBefore w:val="0"/>
              <w:kinsoku/>
              <w:wordWrap/>
              <w:overflowPunct/>
              <w:topLinePunct w:val="0"/>
              <w:autoSpaceDE w:val="0"/>
              <w:autoSpaceDN w:val="0"/>
              <w:bidi w:val="0"/>
              <w:adjustRightInd w:val="0"/>
              <w:snapToGrid/>
              <w:spacing w:line="0" w:lineRule="atLeas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973" w:type="pct"/>
            <w:shd w:val="clear" w:color="auto" w:fill="auto"/>
            <w:vAlign w:val="center"/>
          </w:tcPr>
          <w:p w14:paraId="6B7E5BC8">
            <w:pPr>
              <w:keepNext w:val="0"/>
              <w:keepLines w:val="0"/>
              <w:pageBreakBefore w:val="0"/>
              <w:widowControl w:val="0"/>
              <w:kinsoku/>
              <w:wordWrap w:val="0"/>
              <w:overflowPunct/>
              <w:topLinePunct w:val="0"/>
              <w:autoSpaceDE/>
              <w:autoSpaceDN/>
              <w:bidi w:val="0"/>
              <w:snapToGrid/>
              <w:spacing w:line="0" w:lineRule="atLeas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营业执照</w:t>
            </w:r>
          </w:p>
        </w:tc>
        <w:tc>
          <w:tcPr>
            <w:tcW w:w="3649" w:type="pct"/>
            <w:shd w:val="clear" w:color="auto" w:fill="auto"/>
            <w:vAlign w:val="center"/>
          </w:tcPr>
          <w:p w14:paraId="2286C6FF">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具有</w:t>
            </w:r>
            <w:r>
              <w:rPr>
                <w:rFonts w:hint="eastAsia" w:ascii="宋体" w:hAnsi="宋体" w:eastAsia="宋体" w:cs="宋体"/>
                <w:color w:val="auto"/>
                <w:sz w:val="24"/>
                <w:szCs w:val="24"/>
                <w:highlight w:val="none"/>
                <w:lang w:eastAsia="zh-CN"/>
              </w:rPr>
              <w:t>年检有效期内的营业执照。</w:t>
            </w:r>
          </w:p>
          <w:p w14:paraId="216388F9">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投标文件内附营业执照彩色复印件加盖公章。</w:t>
            </w:r>
          </w:p>
        </w:tc>
      </w:tr>
      <w:tr w14:paraId="7EC6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376" w:type="pct"/>
            <w:shd w:val="clear" w:color="auto" w:fill="auto"/>
            <w:vAlign w:val="center"/>
          </w:tcPr>
          <w:p w14:paraId="7EFF67AC">
            <w:pPr>
              <w:keepNext w:val="0"/>
              <w:keepLines w:val="0"/>
              <w:pageBreakBefore w:val="0"/>
              <w:kinsoku/>
              <w:wordWrap/>
              <w:overflowPunct/>
              <w:topLinePunct w:val="0"/>
              <w:autoSpaceDE w:val="0"/>
              <w:autoSpaceDN w:val="0"/>
              <w:bidi w:val="0"/>
              <w:adjustRightInd w:val="0"/>
              <w:snapToGrid/>
              <w:spacing w:line="0" w:lineRule="atLeast"/>
              <w:jc w:val="center"/>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rPr>
              <w:t>3</w:t>
            </w:r>
          </w:p>
        </w:tc>
        <w:tc>
          <w:tcPr>
            <w:tcW w:w="973" w:type="pct"/>
            <w:vAlign w:val="center"/>
          </w:tcPr>
          <w:p w14:paraId="70F8DEC9">
            <w:pPr>
              <w:keepNext w:val="0"/>
              <w:keepLines w:val="0"/>
              <w:pageBreakBefore w:val="0"/>
              <w:widowControl w:val="0"/>
              <w:kinsoku/>
              <w:wordWrap w:val="0"/>
              <w:overflowPunct/>
              <w:topLinePunct w:val="0"/>
              <w:autoSpaceDE/>
              <w:autoSpaceDN/>
              <w:bidi w:val="0"/>
              <w:snapToGrid/>
              <w:spacing w:line="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财务要求</w:t>
            </w:r>
          </w:p>
        </w:tc>
        <w:tc>
          <w:tcPr>
            <w:tcW w:w="3649" w:type="pct"/>
            <w:vAlign w:val="center"/>
          </w:tcPr>
          <w:p w14:paraId="20B42300">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投标人近三年（2022年-至今）财务状况良好。同时提供以下①②材料：</w:t>
            </w:r>
          </w:p>
          <w:p w14:paraId="53300DEB">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①2022年-2024年经会计师事务所或审计机构审计的财务审计报告，如投标人成立日期在2022年-2024年之间的，提供从成立之日起到2024年度经会计师事务所或审计机构审计的财务审计报告；②2025年1月1日至今的财务状况良好承诺。</w:t>
            </w:r>
          </w:p>
          <w:p w14:paraId="4BE403B7">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注：如投标人在2025年1月1日后成立的，只提供成立之日至今的财务状况良好承诺即可；</w:t>
            </w:r>
          </w:p>
          <w:p w14:paraId="0F72EB17">
            <w:pPr>
              <w:pStyle w:val="18"/>
              <w:ind w:left="0" w:leftChars="0" w:firstLine="0" w:firstLineChars="0"/>
              <w:rPr>
                <w:rFonts w:hint="default" w:eastAsia="宋体"/>
                <w:highlight w:val="none"/>
                <w:lang w:val="en-US" w:eastAsia="zh-CN"/>
              </w:rPr>
            </w:pPr>
            <w:r>
              <w:rPr>
                <w:rFonts w:hint="eastAsia" w:ascii="宋体" w:hAnsi="宋体" w:cs="宋体"/>
                <w:color w:val="auto"/>
                <w:sz w:val="24"/>
                <w:szCs w:val="24"/>
                <w:highlight w:val="none"/>
                <w:lang w:val="en-US" w:eastAsia="zh-CN"/>
              </w:rPr>
              <w:t>提供相关证明材料</w:t>
            </w:r>
          </w:p>
        </w:tc>
      </w:tr>
      <w:tr w14:paraId="7B9D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76" w:type="pct"/>
            <w:shd w:val="clear" w:color="auto" w:fill="auto"/>
            <w:vAlign w:val="center"/>
          </w:tcPr>
          <w:p w14:paraId="0054E478">
            <w:pPr>
              <w:keepNext w:val="0"/>
              <w:keepLines w:val="0"/>
              <w:pageBreakBefore w:val="0"/>
              <w:kinsoku/>
              <w:wordWrap/>
              <w:overflowPunct/>
              <w:topLinePunct w:val="0"/>
              <w:autoSpaceDE w:val="0"/>
              <w:autoSpaceDN w:val="0"/>
              <w:bidi w:val="0"/>
              <w:adjustRightInd w:val="0"/>
              <w:snapToGrid/>
              <w:spacing w:line="0" w:lineRule="atLeast"/>
              <w:jc w:val="center"/>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rPr>
              <w:t>4</w:t>
            </w:r>
          </w:p>
        </w:tc>
        <w:tc>
          <w:tcPr>
            <w:tcW w:w="973" w:type="pct"/>
            <w:vAlign w:val="center"/>
          </w:tcPr>
          <w:p w14:paraId="10EA0DB3">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履约能力</w:t>
            </w:r>
          </w:p>
        </w:tc>
        <w:tc>
          <w:tcPr>
            <w:tcW w:w="3649" w:type="pct"/>
            <w:vAlign w:val="center"/>
          </w:tcPr>
          <w:p w14:paraId="276B88C6">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具</w:t>
            </w:r>
            <w:r>
              <w:rPr>
                <w:rFonts w:hint="eastAsia" w:ascii="宋体" w:hAnsi="宋体" w:eastAsia="宋体" w:cs="宋体"/>
                <w:color w:val="auto"/>
                <w:sz w:val="24"/>
                <w:szCs w:val="24"/>
                <w:highlight w:val="none"/>
                <w:lang w:val="zh-CN" w:eastAsia="zh-CN"/>
              </w:rPr>
              <w:t>有</w:t>
            </w:r>
            <w:r>
              <w:rPr>
                <w:rFonts w:hint="eastAsia" w:ascii="宋体" w:hAnsi="宋体" w:eastAsia="宋体" w:cs="宋体"/>
                <w:color w:val="auto"/>
                <w:sz w:val="24"/>
                <w:szCs w:val="24"/>
                <w:highlight w:val="none"/>
                <w:lang w:val="zh-CN"/>
              </w:rPr>
              <w:t>履行合同所必需的设备和专业技术能力。投标文件内附由法定代表人或授权代表签字或盖章并加盖公章的承诺书。</w:t>
            </w:r>
          </w:p>
        </w:tc>
      </w:tr>
      <w:tr w14:paraId="5902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76" w:type="pct"/>
            <w:shd w:val="clear" w:color="auto" w:fill="auto"/>
            <w:vAlign w:val="center"/>
          </w:tcPr>
          <w:p w14:paraId="7D4B4CD2">
            <w:pPr>
              <w:keepNext w:val="0"/>
              <w:keepLines w:val="0"/>
              <w:pageBreakBefore w:val="0"/>
              <w:kinsoku/>
              <w:wordWrap/>
              <w:overflowPunct/>
              <w:topLinePunct w:val="0"/>
              <w:autoSpaceDE w:val="0"/>
              <w:autoSpaceDN w:val="0"/>
              <w:bidi w:val="0"/>
              <w:adjustRightInd w:val="0"/>
              <w:snapToGrid/>
              <w:spacing w:line="0" w:lineRule="atLeast"/>
              <w:jc w:val="center"/>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rPr>
              <w:t>5</w:t>
            </w:r>
          </w:p>
        </w:tc>
        <w:tc>
          <w:tcPr>
            <w:tcW w:w="973" w:type="pct"/>
            <w:vAlign w:val="center"/>
          </w:tcPr>
          <w:p w14:paraId="3E2F746D">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依法纳税的良好记录</w:t>
            </w:r>
          </w:p>
        </w:tc>
        <w:tc>
          <w:tcPr>
            <w:tcW w:w="3649" w:type="pct"/>
            <w:vAlign w:val="center"/>
          </w:tcPr>
          <w:p w14:paraId="55F97ECE">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宋体" w:hAnsi="宋体" w:eastAsia="宋体" w:cs="宋体"/>
                <w:color w:val="auto"/>
                <w:sz w:val="24"/>
                <w:szCs w:val="24"/>
                <w:highlight w:val="none"/>
                <w:lang w:val="zh-CN"/>
              </w:rPr>
            </w:pPr>
            <w:r>
              <w:rPr>
                <w:rFonts w:hint="default" w:ascii="宋体" w:hAnsi="宋体" w:eastAsia="宋体" w:cs="宋体"/>
                <w:color w:val="auto"/>
                <w:sz w:val="24"/>
                <w:szCs w:val="24"/>
                <w:highlight w:val="none"/>
                <w:lang w:val="en-US" w:eastAsia="zh-CN"/>
              </w:rPr>
              <w:t>具有近三个月任意一个月依法缴纳税收的相关材料（提供纳税证明材料）</w:t>
            </w:r>
          </w:p>
        </w:tc>
      </w:tr>
      <w:tr w14:paraId="6089E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76" w:type="pct"/>
            <w:shd w:val="clear" w:color="auto" w:fill="auto"/>
            <w:vAlign w:val="center"/>
          </w:tcPr>
          <w:p w14:paraId="3BD9AAF9">
            <w:pPr>
              <w:keepNext w:val="0"/>
              <w:keepLines w:val="0"/>
              <w:pageBreakBefore w:val="0"/>
              <w:kinsoku/>
              <w:wordWrap/>
              <w:overflowPunct/>
              <w:topLinePunct w:val="0"/>
              <w:autoSpaceDE w:val="0"/>
              <w:autoSpaceDN w:val="0"/>
              <w:bidi w:val="0"/>
              <w:adjustRightInd w:val="0"/>
              <w:snapToGrid/>
              <w:spacing w:line="0" w:lineRule="atLeast"/>
              <w:jc w:val="center"/>
              <w:textAlignment w:val="auto"/>
              <w:rPr>
                <w:rFonts w:hint="eastAsia" w:ascii="宋体" w:hAnsi="宋体" w:eastAsia="宋体" w:cs="宋体"/>
                <w:color w:val="auto"/>
                <w:sz w:val="24"/>
                <w:szCs w:val="24"/>
                <w:highlight w:val="none"/>
                <w:lang w:val="zh-CN" w:eastAsia="zh-CN" w:bidi="ar-SA"/>
              </w:rPr>
            </w:pPr>
            <w:r>
              <w:rPr>
                <w:rFonts w:hint="eastAsia" w:ascii="宋体" w:hAnsi="宋体" w:cs="宋体"/>
                <w:color w:val="auto"/>
                <w:sz w:val="24"/>
                <w:szCs w:val="24"/>
                <w:highlight w:val="none"/>
                <w:lang w:val="en-US" w:eastAsia="zh-CN"/>
              </w:rPr>
              <w:t>6</w:t>
            </w:r>
          </w:p>
        </w:tc>
        <w:tc>
          <w:tcPr>
            <w:tcW w:w="973" w:type="pct"/>
            <w:vAlign w:val="center"/>
          </w:tcPr>
          <w:p w14:paraId="4750E595">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社会保障资金的良好记录</w:t>
            </w:r>
          </w:p>
        </w:tc>
        <w:tc>
          <w:tcPr>
            <w:tcW w:w="3649" w:type="pct"/>
            <w:vAlign w:val="center"/>
          </w:tcPr>
          <w:p w14:paraId="3DEE5AD8">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具有近三个月任意一个月缴纳社会保障资金的相关材料（提供社会保障资金缴纳证明材料）</w:t>
            </w:r>
          </w:p>
        </w:tc>
      </w:tr>
      <w:tr w14:paraId="4C17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76" w:type="pct"/>
            <w:shd w:val="clear" w:color="auto" w:fill="auto"/>
            <w:vAlign w:val="center"/>
          </w:tcPr>
          <w:p w14:paraId="781051A0">
            <w:pPr>
              <w:keepNext w:val="0"/>
              <w:keepLines w:val="0"/>
              <w:pageBreakBefore w:val="0"/>
              <w:kinsoku/>
              <w:wordWrap/>
              <w:overflowPunct/>
              <w:topLinePunct w:val="0"/>
              <w:autoSpaceDE w:val="0"/>
              <w:autoSpaceDN w:val="0"/>
              <w:bidi w:val="0"/>
              <w:adjustRightInd w:val="0"/>
              <w:snapToGrid/>
              <w:spacing w:line="0" w:lineRule="atLeas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7</w:t>
            </w:r>
          </w:p>
        </w:tc>
        <w:tc>
          <w:tcPr>
            <w:tcW w:w="973" w:type="pct"/>
            <w:vAlign w:val="center"/>
          </w:tcPr>
          <w:p w14:paraId="7DA7DA1A">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sz w:val="24"/>
                <w:szCs w:val="24"/>
                <w:highlight w:val="none"/>
                <w:lang w:val="en-US" w:eastAsia="zh-CN"/>
              </w:rPr>
              <w:t>法定代表人资格证明或授权委托书</w:t>
            </w:r>
          </w:p>
        </w:tc>
        <w:tc>
          <w:tcPr>
            <w:tcW w:w="3649" w:type="pct"/>
            <w:vAlign w:val="center"/>
          </w:tcPr>
          <w:p w14:paraId="0D7F84B0">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提供法定代表人资格证明（法定代表人参加投标）或授权委托书（授权委托人员参加投标）。</w:t>
            </w:r>
          </w:p>
        </w:tc>
      </w:tr>
      <w:tr w14:paraId="3A397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376" w:type="pct"/>
            <w:shd w:val="clear" w:color="auto" w:fill="auto"/>
            <w:vAlign w:val="center"/>
          </w:tcPr>
          <w:p w14:paraId="75B1F194">
            <w:pPr>
              <w:keepNext w:val="0"/>
              <w:keepLines w:val="0"/>
              <w:pageBreakBefore w:val="0"/>
              <w:kinsoku/>
              <w:wordWrap/>
              <w:overflowPunct/>
              <w:topLinePunct w:val="0"/>
              <w:autoSpaceDE w:val="0"/>
              <w:autoSpaceDN w:val="0"/>
              <w:bidi w:val="0"/>
              <w:adjustRightInd w:val="0"/>
              <w:snapToGrid/>
              <w:spacing w:line="0" w:lineRule="atLeast"/>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8</w:t>
            </w:r>
          </w:p>
        </w:tc>
        <w:tc>
          <w:tcPr>
            <w:tcW w:w="973" w:type="pct"/>
            <w:shd w:val="clear" w:color="auto" w:fill="auto"/>
            <w:vAlign w:val="center"/>
          </w:tcPr>
          <w:p w14:paraId="59EAFDAD">
            <w:pPr>
              <w:keepNext w:val="0"/>
              <w:keepLines w:val="0"/>
              <w:pageBreakBefore w:val="0"/>
              <w:kinsoku/>
              <w:wordWrap/>
              <w:overflowPunct/>
              <w:topLinePunct w:val="0"/>
              <w:autoSpaceDE w:val="0"/>
              <w:autoSpaceDN w:val="0"/>
              <w:bidi w:val="0"/>
              <w:adjustRightInd w:val="0"/>
              <w:snapToGrid/>
              <w:spacing w:line="0" w:lineRule="atLeast"/>
              <w:jc w:val="center"/>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rPr>
              <w:t>信誉要求</w:t>
            </w:r>
          </w:p>
        </w:tc>
        <w:tc>
          <w:tcPr>
            <w:tcW w:w="3649" w:type="pct"/>
            <w:shd w:val="clear" w:color="auto" w:fill="auto"/>
            <w:vAlign w:val="center"/>
          </w:tcPr>
          <w:p w14:paraId="1C4214FB">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1.参加政府采购活动前三年内在经营活动中没有重大违法记录；</w:t>
            </w:r>
          </w:p>
          <w:p w14:paraId="37BD5D8B">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投标人近三年（2022年1月1日-至今）内投标人、法定代表人未在“中国裁判文书网”（www.wenshu.court.gov.cn）有行贿犯罪记录；</w:t>
            </w:r>
          </w:p>
          <w:p w14:paraId="176A2DA3">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拒绝列入政府取消投标资格记录期间的企业或个人投标；</w:t>
            </w:r>
          </w:p>
          <w:p w14:paraId="182ED4F1">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投标人不能列入失信被执行人、重大税收违法案件当事人名单、政府采购严重违法失信行为记录名单（详见财库〔2016〕125号）；</w:t>
            </w:r>
          </w:p>
          <w:p w14:paraId="34922911">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拒绝被工商行政管理机关在国家企业信用信息公示系统中列入严重违法失信企业名单的参与投标；</w:t>
            </w:r>
          </w:p>
          <w:p w14:paraId="5E30736D">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与采购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均无效。</w:t>
            </w:r>
          </w:p>
          <w:p w14:paraId="6F80C2C8">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针对上述内容投标文件内附由法定代表人或授权代表签字或盖章并加盖公章的</w:t>
            </w:r>
            <w:r>
              <w:rPr>
                <w:rFonts w:hint="eastAsia" w:ascii="宋体" w:hAnsi="宋体" w:eastAsia="宋体" w:cs="宋体"/>
                <w:b/>
                <w:bCs/>
                <w:color w:val="auto"/>
                <w:sz w:val="24"/>
                <w:szCs w:val="24"/>
                <w:highlight w:val="none"/>
                <w:lang w:val="en-US" w:eastAsia="zh-CN"/>
              </w:rPr>
              <w:t>承诺书</w:t>
            </w:r>
            <w:r>
              <w:rPr>
                <w:rFonts w:hint="eastAsia" w:ascii="宋体" w:hAnsi="宋体" w:eastAsia="宋体" w:cs="宋体"/>
                <w:color w:val="auto"/>
                <w:sz w:val="24"/>
                <w:szCs w:val="24"/>
                <w:highlight w:val="none"/>
                <w:lang w:val="en-US" w:eastAsia="zh-CN"/>
              </w:rPr>
              <w:t>。</w:t>
            </w:r>
          </w:p>
        </w:tc>
      </w:tr>
    </w:tbl>
    <w:p w14:paraId="6AC4C77B">
      <w:pPr>
        <w:spacing w:line="440" w:lineRule="exact"/>
        <w:jc w:val="both"/>
        <w:rPr>
          <w:rFonts w:hint="eastAsia" w:ascii="宋体" w:hAnsi="宋体" w:eastAsia="宋体" w:cs="宋体"/>
          <w:b/>
          <w:color w:val="auto"/>
          <w:sz w:val="24"/>
          <w:szCs w:val="24"/>
          <w:highlight w:val="yellow"/>
        </w:rPr>
      </w:pPr>
    </w:p>
    <w:p w14:paraId="57917E2C">
      <w:pPr>
        <w:pStyle w:val="18"/>
        <w:rPr>
          <w:rFonts w:hint="eastAsia" w:ascii="宋体" w:hAnsi="宋体" w:eastAsia="宋体" w:cs="宋体"/>
          <w:b/>
          <w:color w:val="auto"/>
          <w:sz w:val="24"/>
          <w:szCs w:val="24"/>
          <w:highlight w:val="yellow"/>
        </w:rPr>
      </w:pPr>
    </w:p>
    <w:p w14:paraId="1A0EF675">
      <w:pPr>
        <w:pStyle w:val="18"/>
        <w:rPr>
          <w:rFonts w:hint="eastAsia" w:ascii="宋体" w:hAnsi="宋体" w:eastAsia="宋体" w:cs="宋体"/>
          <w:b/>
          <w:color w:val="auto"/>
          <w:sz w:val="24"/>
          <w:szCs w:val="24"/>
          <w:highlight w:val="yellow"/>
        </w:rPr>
      </w:pPr>
    </w:p>
    <w:p w14:paraId="5F212627">
      <w:pPr>
        <w:spacing w:line="440" w:lineRule="exact"/>
        <w:jc w:val="both"/>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二</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符合性评审</w:t>
      </w:r>
    </w:p>
    <w:tbl>
      <w:tblPr>
        <w:tblStyle w:val="45"/>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7532"/>
      </w:tblGrid>
      <w:tr w14:paraId="0E62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576" w:type="pct"/>
            <w:vMerge w:val="restart"/>
            <w:vAlign w:val="center"/>
          </w:tcPr>
          <w:p w14:paraId="7879EC09">
            <w:pPr>
              <w:keepNext w:val="0"/>
              <w:keepLines w:val="0"/>
              <w:pageBreakBefore w:val="0"/>
              <w:kinsoku/>
              <w:wordWrap/>
              <w:overflowPunct/>
              <w:topLinePunct w:val="0"/>
              <w:autoSpaceDE w:val="0"/>
              <w:autoSpaceDN w:val="0"/>
              <w:bidi w:val="0"/>
              <w:adjustRightInd w:val="0"/>
              <w:spacing w:line="288"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序号</w:t>
            </w:r>
          </w:p>
        </w:tc>
        <w:tc>
          <w:tcPr>
            <w:tcW w:w="4423" w:type="pct"/>
            <w:vMerge w:val="restart"/>
            <w:vAlign w:val="center"/>
          </w:tcPr>
          <w:p w14:paraId="1F3E4262">
            <w:pPr>
              <w:keepNext w:val="0"/>
              <w:keepLines w:val="0"/>
              <w:pageBreakBefore w:val="0"/>
              <w:kinsoku/>
              <w:wordWrap/>
              <w:overflowPunct/>
              <w:topLinePunct w:val="0"/>
              <w:autoSpaceDE w:val="0"/>
              <w:autoSpaceDN w:val="0"/>
              <w:bidi w:val="0"/>
              <w:adjustRightInd w:val="0"/>
              <w:spacing w:line="288"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评审内容</w:t>
            </w:r>
          </w:p>
        </w:tc>
      </w:tr>
      <w:tr w14:paraId="7DA5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576" w:type="pct"/>
            <w:vMerge w:val="continue"/>
            <w:vAlign w:val="center"/>
          </w:tcPr>
          <w:p w14:paraId="41C3E7EA">
            <w:pPr>
              <w:keepNext w:val="0"/>
              <w:keepLines w:val="0"/>
              <w:pageBreakBefore w:val="0"/>
              <w:kinsoku/>
              <w:wordWrap/>
              <w:overflowPunct/>
              <w:topLinePunct w:val="0"/>
              <w:autoSpaceDE w:val="0"/>
              <w:autoSpaceDN w:val="0"/>
              <w:bidi w:val="0"/>
              <w:adjustRightInd w:val="0"/>
              <w:spacing w:line="288" w:lineRule="auto"/>
              <w:jc w:val="center"/>
              <w:rPr>
                <w:rFonts w:hint="eastAsia" w:ascii="宋体" w:hAnsi="宋体" w:eastAsia="宋体" w:cs="宋体"/>
                <w:bCs/>
                <w:color w:val="auto"/>
                <w:sz w:val="24"/>
                <w:szCs w:val="24"/>
                <w:highlight w:val="none"/>
                <w:lang w:val="zh-CN"/>
              </w:rPr>
            </w:pPr>
          </w:p>
        </w:tc>
        <w:tc>
          <w:tcPr>
            <w:tcW w:w="4423" w:type="pct"/>
            <w:vMerge w:val="continue"/>
            <w:vAlign w:val="center"/>
          </w:tcPr>
          <w:p w14:paraId="1B92ECC4">
            <w:pPr>
              <w:keepNext w:val="0"/>
              <w:keepLines w:val="0"/>
              <w:pageBreakBefore w:val="0"/>
              <w:kinsoku/>
              <w:wordWrap/>
              <w:overflowPunct/>
              <w:topLinePunct w:val="0"/>
              <w:autoSpaceDE w:val="0"/>
              <w:autoSpaceDN w:val="0"/>
              <w:bidi w:val="0"/>
              <w:adjustRightInd w:val="0"/>
              <w:spacing w:line="288" w:lineRule="auto"/>
              <w:jc w:val="center"/>
              <w:rPr>
                <w:rFonts w:hint="eastAsia" w:ascii="宋体" w:hAnsi="宋体" w:eastAsia="宋体" w:cs="宋体"/>
                <w:bCs/>
                <w:color w:val="auto"/>
                <w:sz w:val="24"/>
                <w:szCs w:val="24"/>
                <w:highlight w:val="none"/>
                <w:lang w:val="zh-CN"/>
              </w:rPr>
            </w:pPr>
          </w:p>
        </w:tc>
      </w:tr>
      <w:tr w14:paraId="7ECFD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vAlign w:val="center"/>
          </w:tcPr>
          <w:p w14:paraId="0FB6AF58">
            <w:pPr>
              <w:keepNext w:val="0"/>
              <w:keepLines w:val="0"/>
              <w:pageBreakBefore w:val="0"/>
              <w:widowControl w:val="0"/>
              <w:kinsoku/>
              <w:wordWrap/>
              <w:overflowPunct/>
              <w:topLinePunct w:val="0"/>
              <w:bidi w:val="0"/>
              <w:adjustRightInd w:val="0"/>
              <w:snapToGrid w:val="0"/>
              <w:spacing w:line="288" w:lineRule="auto"/>
              <w:jc w:val="center"/>
              <w:textAlignment w:val="baseline"/>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1</w:t>
            </w:r>
          </w:p>
        </w:tc>
        <w:tc>
          <w:tcPr>
            <w:tcW w:w="4423" w:type="pct"/>
            <w:vAlign w:val="center"/>
          </w:tcPr>
          <w:p w14:paraId="58D0466A">
            <w:pPr>
              <w:keepNext w:val="0"/>
              <w:keepLines w:val="0"/>
              <w:pageBreakBefore w:val="0"/>
              <w:widowControl w:val="0"/>
              <w:kinsoku/>
              <w:wordWrap/>
              <w:overflowPunct/>
              <w:topLinePunct w:val="0"/>
              <w:bidi w:val="0"/>
              <w:adjustRightInd w:val="0"/>
              <w:snapToGrid w:val="0"/>
              <w:spacing w:line="288" w:lineRule="auto"/>
              <w:jc w:val="both"/>
              <w:textAlignment w:val="baseline"/>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供应商名称与企业法人营业执照名称一致</w:t>
            </w:r>
          </w:p>
        </w:tc>
      </w:tr>
      <w:tr w14:paraId="2084C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vAlign w:val="center"/>
          </w:tcPr>
          <w:p w14:paraId="44626B7F">
            <w:pPr>
              <w:keepNext w:val="0"/>
              <w:keepLines w:val="0"/>
              <w:pageBreakBefore w:val="0"/>
              <w:widowControl w:val="0"/>
              <w:kinsoku/>
              <w:wordWrap/>
              <w:overflowPunct/>
              <w:topLinePunct w:val="0"/>
              <w:bidi w:val="0"/>
              <w:adjustRightInd w:val="0"/>
              <w:snapToGrid w:val="0"/>
              <w:spacing w:line="288" w:lineRule="auto"/>
              <w:jc w:val="center"/>
              <w:textAlignment w:val="baseline"/>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2</w:t>
            </w:r>
          </w:p>
        </w:tc>
        <w:tc>
          <w:tcPr>
            <w:tcW w:w="4423" w:type="pct"/>
            <w:vAlign w:val="center"/>
          </w:tcPr>
          <w:p w14:paraId="458D5ABA">
            <w:pPr>
              <w:keepNext w:val="0"/>
              <w:keepLines w:val="0"/>
              <w:pageBreakBefore w:val="0"/>
              <w:widowControl w:val="0"/>
              <w:kinsoku/>
              <w:wordWrap/>
              <w:overflowPunct/>
              <w:topLinePunct w:val="0"/>
              <w:bidi w:val="0"/>
              <w:adjustRightInd w:val="0"/>
              <w:snapToGrid w:val="0"/>
              <w:spacing w:line="288" w:lineRule="auto"/>
              <w:jc w:val="both"/>
              <w:textAlignment w:val="baseline"/>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投标文件的签署及填写符合招标文件的要求</w:t>
            </w:r>
          </w:p>
        </w:tc>
      </w:tr>
      <w:tr w14:paraId="09DC9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vAlign w:val="center"/>
          </w:tcPr>
          <w:p w14:paraId="2399695F">
            <w:pPr>
              <w:keepNext w:val="0"/>
              <w:keepLines w:val="0"/>
              <w:pageBreakBefore w:val="0"/>
              <w:widowControl w:val="0"/>
              <w:kinsoku/>
              <w:wordWrap/>
              <w:overflowPunct/>
              <w:topLinePunct w:val="0"/>
              <w:bidi w:val="0"/>
              <w:adjustRightInd w:val="0"/>
              <w:snapToGrid w:val="0"/>
              <w:spacing w:line="288" w:lineRule="auto"/>
              <w:jc w:val="center"/>
              <w:textAlignment w:val="baseline"/>
              <w:rPr>
                <w:rFonts w:hint="eastAsia" w:ascii="宋体" w:hAnsi="宋体" w:eastAsia="宋体" w:cs="宋体"/>
                <w:bCs/>
                <w:snapToGrid w:val="0"/>
                <w:color w:val="auto"/>
                <w:sz w:val="24"/>
                <w:szCs w:val="24"/>
                <w:highlight w:val="none"/>
                <w:lang w:eastAsia="zh-CN"/>
              </w:rPr>
            </w:pPr>
            <w:r>
              <w:rPr>
                <w:rFonts w:hint="eastAsia" w:ascii="宋体" w:hAnsi="宋体" w:cs="宋体"/>
                <w:bCs/>
                <w:snapToGrid w:val="0"/>
                <w:color w:val="auto"/>
                <w:sz w:val="24"/>
                <w:szCs w:val="24"/>
                <w:highlight w:val="none"/>
                <w:lang w:val="en-US" w:eastAsia="zh-CN"/>
              </w:rPr>
              <w:t>3</w:t>
            </w:r>
          </w:p>
        </w:tc>
        <w:tc>
          <w:tcPr>
            <w:tcW w:w="4423" w:type="pct"/>
            <w:tcBorders>
              <w:bottom w:val="single" w:color="auto" w:sz="4" w:space="0"/>
            </w:tcBorders>
            <w:vAlign w:val="center"/>
          </w:tcPr>
          <w:p w14:paraId="163BFE6B">
            <w:pPr>
              <w:keepNext w:val="0"/>
              <w:keepLines w:val="0"/>
              <w:pageBreakBefore w:val="0"/>
              <w:widowControl w:val="0"/>
              <w:kinsoku/>
              <w:wordWrap/>
              <w:overflowPunct/>
              <w:topLinePunct w:val="0"/>
              <w:bidi w:val="0"/>
              <w:adjustRightInd w:val="0"/>
              <w:snapToGrid w:val="0"/>
              <w:spacing w:line="288" w:lineRule="auto"/>
              <w:jc w:val="both"/>
              <w:textAlignment w:val="baseline"/>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投标有效期满足招标文件要求</w:t>
            </w:r>
          </w:p>
        </w:tc>
      </w:tr>
      <w:tr w14:paraId="7B1E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tcBorders>
              <w:bottom w:val="single" w:color="auto" w:sz="4" w:space="0"/>
            </w:tcBorders>
            <w:vAlign w:val="center"/>
          </w:tcPr>
          <w:p w14:paraId="28D8A081">
            <w:pPr>
              <w:keepNext w:val="0"/>
              <w:keepLines w:val="0"/>
              <w:pageBreakBefore w:val="0"/>
              <w:widowControl w:val="0"/>
              <w:kinsoku/>
              <w:wordWrap/>
              <w:overflowPunct/>
              <w:topLinePunct w:val="0"/>
              <w:bidi w:val="0"/>
              <w:adjustRightInd w:val="0"/>
              <w:snapToGrid w:val="0"/>
              <w:spacing w:line="288" w:lineRule="auto"/>
              <w:jc w:val="center"/>
              <w:textAlignment w:val="baseline"/>
              <w:rPr>
                <w:rFonts w:hint="eastAsia" w:ascii="宋体" w:hAnsi="宋体" w:eastAsia="宋体" w:cs="宋体"/>
                <w:bCs/>
                <w:snapToGrid w:val="0"/>
                <w:color w:val="auto"/>
                <w:sz w:val="24"/>
                <w:szCs w:val="24"/>
                <w:highlight w:val="none"/>
                <w:lang w:eastAsia="zh-CN"/>
              </w:rPr>
            </w:pPr>
            <w:r>
              <w:rPr>
                <w:rFonts w:hint="eastAsia" w:ascii="宋体" w:hAnsi="宋体" w:cs="宋体"/>
                <w:bCs/>
                <w:snapToGrid w:val="0"/>
                <w:color w:val="auto"/>
                <w:sz w:val="24"/>
                <w:szCs w:val="24"/>
                <w:highlight w:val="none"/>
                <w:lang w:val="en-US" w:eastAsia="zh-CN"/>
              </w:rPr>
              <w:t>4</w:t>
            </w:r>
          </w:p>
        </w:tc>
        <w:tc>
          <w:tcPr>
            <w:tcW w:w="4423" w:type="pct"/>
            <w:tcBorders>
              <w:bottom w:val="single" w:color="auto" w:sz="4" w:space="0"/>
            </w:tcBorders>
            <w:vAlign w:val="center"/>
          </w:tcPr>
          <w:p w14:paraId="1B30B17C">
            <w:pPr>
              <w:keepNext w:val="0"/>
              <w:keepLines w:val="0"/>
              <w:pageBreakBefore w:val="0"/>
              <w:widowControl w:val="0"/>
              <w:kinsoku/>
              <w:wordWrap/>
              <w:overflowPunct/>
              <w:topLinePunct w:val="0"/>
              <w:bidi w:val="0"/>
              <w:adjustRightInd w:val="0"/>
              <w:snapToGrid w:val="0"/>
              <w:spacing w:line="288" w:lineRule="auto"/>
              <w:jc w:val="both"/>
              <w:textAlignment w:val="baseline"/>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lang w:eastAsia="zh-CN"/>
              </w:rPr>
              <w:t>合同履行期限（供货期）</w:t>
            </w:r>
            <w:r>
              <w:rPr>
                <w:rFonts w:hint="eastAsia" w:ascii="宋体" w:hAnsi="宋体" w:eastAsia="宋体" w:cs="宋体"/>
                <w:bCs/>
                <w:snapToGrid w:val="0"/>
                <w:color w:val="auto"/>
                <w:sz w:val="24"/>
                <w:szCs w:val="24"/>
                <w:highlight w:val="none"/>
              </w:rPr>
              <w:t>满足招标文件要求</w:t>
            </w:r>
          </w:p>
        </w:tc>
      </w:tr>
      <w:tr w14:paraId="0B10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vAlign w:val="center"/>
          </w:tcPr>
          <w:p w14:paraId="118BE126">
            <w:pPr>
              <w:keepNext w:val="0"/>
              <w:keepLines w:val="0"/>
              <w:pageBreakBefore w:val="0"/>
              <w:widowControl w:val="0"/>
              <w:kinsoku/>
              <w:wordWrap/>
              <w:overflowPunct/>
              <w:topLinePunct w:val="0"/>
              <w:bidi w:val="0"/>
              <w:adjustRightInd w:val="0"/>
              <w:snapToGrid w:val="0"/>
              <w:spacing w:line="288" w:lineRule="auto"/>
              <w:jc w:val="center"/>
              <w:textAlignment w:val="baseline"/>
              <w:rPr>
                <w:rFonts w:hint="eastAsia" w:ascii="宋体" w:hAnsi="宋体" w:eastAsia="宋体" w:cs="宋体"/>
                <w:bCs/>
                <w:snapToGrid w:val="0"/>
                <w:color w:val="auto"/>
                <w:sz w:val="24"/>
                <w:szCs w:val="24"/>
                <w:highlight w:val="none"/>
                <w:lang w:eastAsia="zh-CN"/>
              </w:rPr>
            </w:pPr>
            <w:r>
              <w:rPr>
                <w:rFonts w:hint="eastAsia" w:ascii="宋体" w:hAnsi="宋体" w:cs="宋体"/>
                <w:bCs/>
                <w:snapToGrid w:val="0"/>
                <w:color w:val="auto"/>
                <w:sz w:val="24"/>
                <w:szCs w:val="24"/>
                <w:highlight w:val="none"/>
                <w:lang w:val="en-US" w:eastAsia="zh-CN"/>
              </w:rPr>
              <w:t>5</w:t>
            </w:r>
          </w:p>
        </w:tc>
        <w:tc>
          <w:tcPr>
            <w:tcW w:w="4423" w:type="pct"/>
            <w:vAlign w:val="center"/>
          </w:tcPr>
          <w:p w14:paraId="2476B479">
            <w:pPr>
              <w:keepNext w:val="0"/>
              <w:keepLines w:val="0"/>
              <w:pageBreakBefore w:val="0"/>
              <w:widowControl w:val="0"/>
              <w:kinsoku/>
              <w:wordWrap/>
              <w:overflowPunct/>
              <w:topLinePunct w:val="0"/>
              <w:bidi w:val="0"/>
              <w:adjustRightInd w:val="0"/>
              <w:snapToGrid w:val="0"/>
              <w:spacing w:line="288" w:lineRule="auto"/>
              <w:jc w:val="both"/>
              <w:textAlignment w:val="baseline"/>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供应商</w:t>
            </w:r>
            <w:r>
              <w:rPr>
                <w:rFonts w:hint="eastAsia" w:ascii="宋体" w:hAnsi="宋体" w:cs="宋体"/>
                <w:bCs/>
                <w:snapToGrid w:val="0"/>
                <w:color w:val="auto"/>
                <w:sz w:val="24"/>
                <w:szCs w:val="24"/>
                <w:highlight w:val="none"/>
                <w:lang w:val="en-US" w:eastAsia="zh-CN"/>
              </w:rPr>
              <w:t>仅报</w:t>
            </w:r>
            <w:r>
              <w:rPr>
                <w:rFonts w:hint="eastAsia" w:ascii="宋体" w:hAnsi="宋体" w:eastAsia="宋体" w:cs="宋体"/>
                <w:bCs/>
                <w:snapToGrid w:val="0"/>
                <w:color w:val="auto"/>
                <w:sz w:val="24"/>
                <w:szCs w:val="24"/>
                <w:highlight w:val="none"/>
              </w:rPr>
              <w:t>一个有效报价</w:t>
            </w:r>
            <w:r>
              <w:rPr>
                <w:rFonts w:hint="eastAsia" w:ascii="宋体" w:hAnsi="宋体" w:cs="宋体"/>
                <w:bCs/>
                <w:snapToGrid w:val="0"/>
                <w:color w:val="auto"/>
                <w:sz w:val="24"/>
                <w:szCs w:val="24"/>
                <w:highlight w:val="none"/>
                <w:lang w:eastAsia="zh-CN"/>
              </w:rPr>
              <w:t>，</w:t>
            </w:r>
            <w:r>
              <w:rPr>
                <w:rFonts w:hint="eastAsia" w:ascii="宋体" w:hAnsi="宋体" w:cs="宋体"/>
                <w:bCs/>
                <w:snapToGrid w:val="0"/>
                <w:color w:val="auto"/>
                <w:sz w:val="24"/>
                <w:szCs w:val="24"/>
                <w:highlight w:val="none"/>
                <w:lang w:val="en-US" w:eastAsia="zh-CN"/>
              </w:rPr>
              <w:t>且</w:t>
            </w:r>
            <w:r>
              <w:rPr>
                <w:rFonts w:hint="eastAsia" w:ascii="宋体" w:hAnsi="宋体" w:eastAsia="宋体" w:cs="宋体"/>
                <w:bCs/>
                <w:snapToGrid w:val="0"/>
                <w:color w:val="auto"/>
                <w:sz w:val="24"/>
                <w:szCs w:val="24"/>
                <w:highlight w:val="none"/>
              </w:rPr>
              <w:t>报价不超过</w:t>
            </w:r>
            <w:r>
              <w:rPr>
                <w:rFonts w:hint="eastAsia" w:ascii="宋体" w:hAnsi="宋体" w:eastAsia="宋体" w:cs="宋体"/>
                <w:bCs/>
                <w:color w:val="auto"/>
                <w:sz w:val="24"/>
                <w:szCs w:val="24"/>
                <w:highlight w:val="none"/>
                <w:lang w:val="zh-CN"/>
              </w:rPr>
              <w:t>预算</w:t>
            </w:r>
            <w:r>
              <w:rPr>
                <w:rFonts w:hint="eastAsia" w:ascii="宋体" w:hAnsi="宋体" w:cs="宋体"/>
                <w:bCs/>
                <w:color w:val="auto"/>
                <w:sz w:val="24"/>
                <w:szCs w:val="24"/>
                <w:highlight w:val="none"/>
                <w:lang w:val="zh-CN"/>
              </w:rPr>
              <w:t>金额</w:t>
            </w:r>
          </w:p>
        </w:tc>
      </w:tr>
      <w:tr w14:paraId="4DD6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vAlign w:val="center"/>
          </w:tcPr>
          <w:p w14:paraId="568CF876">
            <w:pPr>
              <w:keepNext w:val="0"/>
              <w:keepLines w:val="0"/>
              <w:pageBreakBefore w:val="0"/>
              <w:widowControl w:val="0"/>
              <w:kinsoku/>
              <w:wordWrap/>
              <w:overflowPunct/>
              <w:topLinePunct w:val="0"/>
              <w:bidi w:val="0"/>
              <w:adjustRightInd w:val="0"/>
              <w:snapToGrid w:val="0"/>
              <w:spacing w:line="288" w:lineRule="auto"/>
              <w:jc w:val="center"/>
              <w:textAlignment w:val="baseline"/>
              <w:rPr>
                <w:rFonts w:hint="eastAsia" w:ascii="宋体" w:hAnsi="宋体" w:eastAsia="宋体" w:cs="宋体"/>
                <w:bCs/>
                <w:snapToGrid w:val="0"/>
                <w:color w:val="auto"/>
                <w:sz w:val="24"/>
                <w:szCs w:val="24"/>
                <w:highlight w:val="none"/>
                <w:lang w:eastAsia="zh-CN"/>
              </w:rPr>
            </w:pPr>
            <w:r>
              <w:rPr>
                <w:rFonts w:hint="eastAsia" w:ascii="宋体" w:hAnsi="宋体" w:cs="宋体"/>
                <w:bCs/>
                <w:snapToGrid w:val="0"/>
                <w:color w:val="auto"/>
                <w:sz w:val="24"/>
                <w:szCs w:val="24"/>
                <w:highlight w:val="none"/>
                <w:lang w:val="en-US" w:eastAsia="zh-CN"/>
              </w:rPr>
              <w:t>6</w:t>
            </w:r>
          </w:p>
        </w:tc>
        <w:tc>
          <w:tcPr>
            <w:tcW w:w="4423" w:type="pct"/>
            <w:vAlign w:val="center"/>
          </w:tcPr>
          <w:p w14:paraId="25570901">
            <w:pPr>
              <w:keepNext w:val="0"/>
              <w:keepLines w:val="0"/>
              <w:pageBreakBefore w:val="0"/>
              <w:widowControl w:val="0"/>
              <w:kinsoku/>
              <w:wordWrap/>
              <w:overflowPunct/>
              <w:topLinePunct w:val="0"/>
              <w:bidi w:val="0"/>
              <w:adjustRightInd w:val="0"/>
              <w:snapToGrid w:val="0"/>
              <w:spacing w:line="288" w:lineRule="auto"/>
              <w:jc w:val="both"/>
              <w:textAlignment w:val="baseline"/>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投标文件没有</w:t>
            </w:r>
            <w:r>
              <w:rPr>
                <w:rFonts w:hint="eastAsia" w:ascii="宋体" w:hAnsi="宋体" w:cs="宋体"/>
                <w:bCs/>
                <w:snapToGrid w:val="0"/>
                <w:color w:val="auto"/>
                <w:sz w:val="24"/>
                <w:szCs w:val="24"/>
                <w:highlight w:val="none"/>
                <w:lang w:val="en-US" w:eastAsia="zh-CN"/>
              </w:rPr>
              <w:t>采购人</w:t>
            </w:r>
            <w:r>
              <w:rPr>
                <w:rFonts w:hint="eastAsia" w:ascii="宋体" w:hAnsi="宋体" w:eastAsia="宋体" w:cs="宋体"/>
                <w:bCs/>
                <w:snapToGrid w:val="0"/>
                <w:color w:val="auto"/>
                <w:sz w:val="24"/>
                <w:szCs w:val="24"/>
                <w:highlight w:val="none"/>
              </w:rPr>
              <w:t>不能接受的条件</w:t>
            </w:r>
          </w:p>
        </w:tc>
      </w:tr>
      <w:tr w14:paraId="7713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vAlign w:val="center"/>
          </w:tcPr>
          <w:p w14:paraId="16CC6174">
            <w:pPr>
              <w:keepNext w:val="0"/>
              <w:keepLines w:val="0"/>
              <w:pageBreakBefore w:val="0"/>
              <w:widowControl w:val="0"/>
              <w:kinsoku/>
              <w:wordWrap/>
              <w:overflowPunct/>
              <w:topLinePunct w:val="0"/>
              <w:bidi w:val="0"/>
              <w:adjustRightInd w:val="0"/>
              <w:snapToGrid w:val="0"/>
              <w:spacing w:line="288" w:lineRule="auto"/>
              <w:jc w:val="center"/>
              <w:textAlignment w:val="baseline"/>
              <w:rPr>
                <w:rFonts w:hint="eastAsia" w:ascii="宋体" w:hAnsi="宋体" w:eastAsia="宋体" w:cs="宋体"/>
                <w:bCs/>
                <w:snapToGrid w:val="0"/>
                <w:color w:val="auto"/>
                <w:sz w:val="24"/>
                <w:szCs w:val="24"/>
                <w:highlight w:val="none"/>
                <w:lang w:eastAsia="zh-CN"/>
              </w:rPr>
            </w:pPr>
            <w:r>
              <w:rPr>
                <w:rFonts w:hint="eastAsia" w:ascii="宋体" w:hAnsi="宋体" w:cs="宋体"/>
                <w:bCs/>
                <w:snapToGrid w:val="0"/>
                <w:color w:val="auto"/>
                <w:sz w:val="24"/>
                <w:szCs w:val="24"/>
                <w:highlight w:val="none"/>
                <w:lang w:val="en-US" w:eastAsia="zh-CN"/>
              </w:rPr>
              <w:t>7</w:t>
            </w:r>
          </w:p>
        </w:tc>
        <w:tc>
          <w:tcPr>
            <w:tcW w:w="4423" w:type="pct"/>
            <w:vAlign w:val="center"/>
          </w:tcPr>
          <w:p w14:paraId="40C3D963">
            <w:pPr>
              <w:keepNext w:val="0"/>
              <w:keepLines w:val="0"/>
              <w:pageBreakBefore w:val="0"/>
              <w:widowControl w:val="0"/>
              <w:kinsoku/>
              <w:wordWrap/>
              <w:overflowPunct/>
              <w:topLinePunct w:val="0"/>
              <w:bidi w:val="0"/>
              <w:adjustRightInd w:val="0"/>
              <w:snapToGrid w:val="0"/>
              <w:spacing w:line="288" w:lineRule="auto"/>
              <w:jc w:val="both"/>
              <w:textAlignment w:val="baseline"/>
              <w:rPr>
                <w:rFonts w:hint="default" w:ascii="宋体" w:hAnsi="宋体" w:eastAsia="宋体" w:cs="宋体"/>
                <w:bCs/>
                <w:snapToGrid w:val="0"/>
                <w:color w:val="auto"/>
                <w:sz w:val="24"/>
                <w:szCs w:val="24"/>
                <w:highlight w:val="none"/>
                <w:lang w:val="en-US" w:eastAsia="zh-CN"/>
              </w:rPr>
            </w:pPr>
            <w:r>
              <w:rPr>
                <w:rFonts w:hint="eastAsia" w:ascii="宋体" w:hAnsi="宋体" w:eastAsia="宋体" w:cs="宋体"/>
                <w:color w:val="auto"/>
                <w:sz w:val="24"/>
                <w:szCs w:val="24"/>
                <w:highlight w:val="none"/>
              </w:rPr>
              <w:t>质保期</w:t>
            </w:r>
            <w:r>
              <w:rPr>
                <w:rFonts w:hint="eastAsia" w:ascii="宋体" w:hAnsi="宋体" w:eastAsia="宋体" w:cs="宋体"/>
                <w:color w:val="auto"/>
                <w:sz w:val="24"/>
                <w:szCs w:val="24"/>
                <w:highlight w:val="none"/>
                <w:lang w:val="en-US" w:eastAsia="zh-CN"/>
              </w:rPr>
              <w:t>符合招标文件要求</w:t>
            </w:r>
          </w:p>
        </w:tc>
      </w:tr>
      <w:tr w14:paraId="7D61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vAlign w:val="center"/>
          </w:tcPr>
          <w:p w14:paraId="5132F76B">
            <w:pPr>
              <w:keepNext w:val="0"/>
              <w:keepLines w:val="0"/>
              <w:pageBreakBefore w:val="0"/>
              <w:widowControl w:val="0"/>
              <w:kinsoku/>
              <w:wordWrap/>
              <w:overflowPunct/>
              <w:topLinePunct w:val="0"/>
              <w:bidi w:val="0"/>
              <w:adjustRightInd w:val="0"/>
              <w:snapToGrid w:val="0"/>
              <w:spacing w:line="288" w:lineRule="auto"/>
              <w:jc w:val="center"/>
              <w:textAlignment w:val="baseline"/>
              <w:rPr>
                <w:rFonts w:hint="eastAsia" w:ascii="宋体" w:hAnsi="宋体" w:eastAsia="宋体" w:cs="宋体"/>
                <w:bCs/>
                <w:snapToGrid w:val="0"/>
                <w:color w:val="auto"/>
                <w:sz w:val="24"/>
                <w:szCs w:val="24"/>
                <w:highlight w:val="none"/>
                <w:lang w:eastAsia="zh-CN"/>
              </w:rPr>
            </w:pPr>
            <w:r>
              <w:rPr>
                <w:rFonts w:hint="eastAsia" w:ascii="宋体" w:hAnsi="宋体" w:cs="宋体"/>
                <w:bCs/>
                <w:snapToGrid w:val="0"/>
                <w:color w:val="auto"/>
                <w:sz w:val="24"/>
                <w:szCs w:val="24"/>
                <w:highlight w:val="none"/>
                <w:lang w:val="en-US" w:eastAsia="zh-CN"/>
              </w:rPr>
              <w:t>8</w:t>
            </w:r>
          </w:p>
        </w:tc>
        <w:tc>
          <w:tcPr>
            <w:tcW w:w="4423" w:type="pct"/>
            <w:vAlign w:val="center"/>
          </w:tcPr>
          <w:p w14:paraId="1B3FBF1B">
            <w:pPr>
              <w:keepNext w:val="0"/>
              <w:keepLines w:val="0"/>
              <w:pageBreakBefore w:val="0"/>
              <w:widowControl w:val="0"/>
              <w:kinsoku/>
              <w:wordWrap/>
              <w:overflowPunct/>
              <w:topLinePunct w:val="0"/>
              <w:bidi w:val="0"/>
              <w:adjustRightInd w:val="0"/>
              <w:snapToGrid w:val="0"/>
              <w:spacing w:line="288" w:lineRule="auto"/>
              <w:jc w:val="both"/>
              <w:textAlignment w:val="baseline"/>
              <w:rPr>
                <w:rFonts w:hint="eastAsia" w:ascii="宋体" w:hAnsi="宋体" w:eastAsia="宋体" w:cs="宋体"/>
                <w:bCs/>
                <w:snapToGrid w:val="0"/>
                <w:color w:val="auto"/>
                <w:sz w:val="24"/>
                <w:szCs w:val="24"/>
                <w:highlight w:val="none"/>
              </w:rPr>
            </w:pPr>
            <w:r>
              <w:rPr>
                <w:rFonts w:hint="eastAsia" w:ascii="宋体" w:hAnsi="宋体" w:eastAsia="宋体" w:cs="宋体"/>
                <w:color w:val="auto"/>
                <w:sz w:val="24"/>
                <w:szCs w:val="24"/>
                <w:highlight w:val="none"/>
              </w:rPr>
              <w:t>质量标准</w:t>
            </w:r>
            <w:r>
              <w:rPr>
                <w:rFonts w:hint="eastAsia" w:ascii="宋体" w:hAnsi="宋体" w:eastAsia="宋体" w:cs="宋体"/>
                <w:color w:val="auto"/>
                <w:sz w:val="24"/>
                <w:szCs w:val="24"/>
                <w:highlight w:val="none"/>
                <w:lang w:val="en-US" w:eastAsia="zh-CN"/>
              </w:rPr>
              <w:t>符合招标文件要求</w:t>
            </w:r>
          </w:p>
        </w:tc>
      </w:tr>
      <w:tr w14:paraId="5B4D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shd w:val="clear" w:color="auto" w:fill="auto"/>
            <w:vAlign w:val="center"/>
          </w:tcPr>
          <w:p w14:paraId="44776961">
            <w:pPr>
              <w:keepNext w:val="0"/>
              <w:keepLines w:val="0"/>
              <w:pageBreakBefore w:val="0"/>
              <w:widowControl w:val="0"/>
              <w:kinsoku/>
              <w:wordWrap/>
              <w:overflowPunct/>
              <w:topLinePunct w:val="0"/>
              <w:bidi w:val="0"/>
              <w:adjustRightInd w:val="0"/>
              <w:snapToGrid w:val="0"/>
              <w:spacing w:line="288" w:lineRule="auto"/>
              <w:jc w:val="center"/>
              <w:textAlignment w:val="baseline"/>
              <w:rPr>
                <w:rFonts w:hint="eastAsia" w:ascii="宋体" w:hAnsi="宋体" w:eastAsia="宋体" w:cs="宋体"/>
                <w:bCs/>
                <w:snapToGrid w:val="0"/>
                <w:color w:val="auto"/>
                <w:sz w:val="24"/>
                <w:szCs w:val="24"/>
                <w:highlight w:val="none"/>
                <w:lang w:val="en-US" w:eastAsia="zh-CN" w:bidi="ar-SA"/>
              </w:rPr>
            </w:pPr>
            <w:r>
              <w:rPr>
                <w:rFonts w:hint="eastAsia" w:ascii="宋体" w:hAnsi="宋体" w:cs="宋体"/>
                <w:bCs/>
                <w:snapToGrid w:val="0"/>
                <w:color w:val="auto"/>
                <w:sz w:val="24"/>
                <w:szCs w:val="24"/>
                <w:highlight w:val="none"/>
                <w:lang w:val="en-US" w:eastAsia="zh-CN"/>
              </w:rPr>
              <w:t>9</w:t>
            </w:r>
          </w:p>
        </w:tc>
        <w:tc>
          <w:tcPr>
            <w:tcW w:w="4423" w:type="pct"/>
            <w:vAlign w:val="center"/>
          </w:tcPr>
          <w:p w14:paraId="6F790834">
            <w:pPr>
              <w:keepNext w:val="0"/>
              <w:keepLines w:val="0"/>
              <w:pageBreakBefore w:val="0"/>
              <w:widowControl w:val="0"/>
              <w:kinsoku/>
              <w:wordWrap/>
              <w:overflowPunct/>
              <w:topLinePunct w:val="0"/>
              <w:bidi w:val="0"/>
              <w:adjustRightInd w:val="0"/>
              <w:snapToGrid w:val="0"/>
              <w:spacing w:line="288"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逐条对招标文件要求的商务条款和技术需求进行应答，详细填写“技术需求偏离表、商务条款偏离表”</w:t>
            </w:r>
          </w:p>
        </w:tc>
      </w:tr>
      <w:tr w14:paraId="2F50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shd w:val="clear" w:color="auto" w:fill="auto"/>
            <w:vAlign w:val="center"/>
          </w:tcPr>
          <w:p w14:paraId="3F1939FF">
            <w:pPr>
              <w:keepNext w:val="0"/>
              <w:keepLines w:val="0"/>
              <w:pageBreakBefore w:val="0"/>
              <w:widowControl w:val="0"/>
              <w:kinsoku/>
              <w:wordWrap/>
              <w:overflowPunct/>
              <w:topLinePunct w:val="0"/>
              <w:bidi w:val="0"/>
              <w:adjustRightInd w:val="0"/>
              <w:snapToGrid w:val="0"/>
              <w:spacing w:line="288" w:lineRule="auto"/>
              <w:jc w:val="center"/>
              <w:textAlignment w:val="baseline"/>
              <w:rPr>
                <w:rFonts w:hint="eastAsia" w:ascii="宋体" w:hAnsi="宋体" w:eastAsia="宋体" w:cs="宋体"/>
                <w:bCs/>
                <w:snapToGrid w:val="0"/>
                <w:color w:val="auto"/>
                <w:sz w:val="24"/>
                <w:szCs w:val="24"/>
                <w:highlight w:val="none"/>
                <w:lang w:val="en-US" w:eastAsia="zh-CN" w:bidi="ar-SA"/>
              </w:rPr>
            </w:pPr>
            <w:r>
              <w:rPr>
                <w:rFonts w:hint="eastAsia" w:ascii="宋体" w:hAnsi="宋体" w:eastAsia="宋体" w:cs="宋体"/>
                <w:bCs/>
                <w:snapToGrid w:val="0"/>
                <w:color w:val="auto"/>
                <w:sz w:val="24"/>
                <w:szCs w:val="24"/>
                <w:highlight w:val="none"/>
              </w:rPr>
              <w:t>1</w:t>
            </w:r>
            <w:r>
              <w:rPr>
                <w:rFonts w:hint="eastAsia" w:ascii="宋体" w:hAnsi="宋体" w:cs="宋体"/>
                <w:bCs/>
                <w:snapToGrid w:val="0"/>
                <w:color w:val="auto"/>
                <w:sz w:val="24"/>
                <w:szCs w:val="24"/>
                <w:highlight w:val="none"/>
                <w:lang w:val="en-US" w:eastAsia="zh-CN"/>
              </w:rPr>
              <w:t>0</w:t>
            </w:r>
          </w:p>
        </w:tc>
        <w:tc>
          <w:tcPr>
            <w:tcW w:w="4423" w:type="pct"/>
            <w:vAlign w:val="center"/>
          </w:tcPr>
          <w:p w14:paraId="1065CC78">
            <w:pPr>
              <w:keepNext w:val="0"/>
              <w:keepLines w:val="0"/>
              <w:pageBreakBefore w:val="0"/>
              <w:widowControl w:val="0"/>
              <w:kinsoku/>
              <w:wordWrap/>
              <w:overflowPunct/>
              <w:topLinePunct w:val="0"/>
              <w:bidi w:val="0"/>
              <w:adjustRightInd w:val="0"/>
              <w:snapToGrid w:val="0"/>
              <w:spacing w:line="288" w:lineRule="auto"/>
              <w:jc w:val="both"/>
              <w:textAlignment w:val="baseline"/>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响应招标文件规定的全部实质性条款</w:t>
            </w:r>
          </w:p>
        </w:tc>
      </w:tr>
      <w:tr w14:paraId="134F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shd w:val="clear" w:color="auto" w:fill="auto"/>
            <w:vAlign w:val="center"/>
          </w:tcPr>
          <w:p w14:paraId="33DA350A">
            <w:pPr>
              <w:keepNext w:val="0"/>
              <w:keepLines w:val="0"/>
              <w:pageBreakBefore w:val="0"/>
              <w:widowControl w:val="0"/>
              <w:kinsoku/>
              <w:wordWrap/>
              <w:overflowPunct/>
              <w:topLinePunct w:val="0"/>
              <w:bidi w:val="0"/>
              <w:adjustRightInd w:val="0"/>
              <w:snapToGrid w:val="0"/>
              <w:spacing w:line="288" w:lineRule="auto"/>
              <w:jc w:val="center"/>
              <w:textAlignment w:val="baseline"/>
              <w:rPr>
                <w:rFonts w:hint="eastAsia" w:ascii="宋体" w:hAnsi="宋体" w:eastAsia="宋体" w:cs="宋体"/>
                <w:bCs/>
                <w:snapToGrid w:val="0"/>
                <w:color w:val="auto"/>
                <w:sz w:val="24"/>
                <w:szCs w:val="24"/>
                <w:highlight w:val="none"/>
                <w:lang w:val="en-US" w:eastAsia="zh-CN" w:bidi="ar-SA"/>
              </w:rPr>
            </w:pPr>
            <w:r>
              <w:rPr>
                <w:rFonts w:hint="eastAsia" w:ascii="宋体" w:hAnsi="宋体" w:eastAsia="宋体" w:cs="宋体"/>
                <w:bCs/>
                <w:snapToGrid w:val="0"/>
                <w:color w:val="auto"/>
                <w:sz w:val="24"/>
                <w:szCs w:val="24"/>
                <w:highlight w:val="none"/>
              </w:rPr>
              <w:t>1</w:t>
            </w:r>
            <w:r>
              <w:rPr>
                <w:rFonts w:hint="eastAsia" w:ascii="宋体" w:hAnsi="宋体" w:cs="宋体"/>
                <w:bCs/>
                <w:snapToGrid w:val="0"/>
                <w:color w:val="auto"/>
                <w:sz w:val="24"/>
                <w:szCs w:val="24"/>
                <w:highlight w:val="none"/>
                <w:lang w:val="en-US" w:eastAsia="zh-CN"/>
              </w:rPr>
              <w:t>1</w:t>
            </w:r>
          </w:p>
        </w:tc>
        <w:tc>
          <w:tcPr>
            <w:tcW w:w="4423" w:type="pct"/>
            <w:vAlign w:val="center"/>
          </w:tcPr>
          <w:p w14:paraId="25F0769E">
            <w:pPr>
              <w:keepNext w:val="0"/>
              <w:keepLines w:val="0"/>
              <w:pageBreakBefore w:val="0"/>
              <w:widowControl w:val="0"/>
              <w:kinsoku/>
              <w:wordWrap/>
              <w:overflowPunct/>
              <w:topLinePunct w:val="0"/>
              <w:bidi w:val="0"/>
              <w:adjustRightInd w:val="0"/>
              <w:snapToGrid w:val="0"/>
              <w:spacing w:line="288" w:lineRule="auto"/>
              <w:jc w:val="both"/>
              <w:textAlignment w:val="baseline"/>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投标文件关键内容无不全、字迹模糊、无法辨认</w:t>
            </w:r>
          </w:p>
        </w:tc>
      </w:tr>
      <w:tr w14:paraId="07FB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576" w:type="pct"/>
            <w:vAlign w:val="center"/>
          </w:tcPr>
          <w:p w14:paraId="61329D52">
            <w:pPr>
              <w:keepNext w:val="0"/>
              <w:keepLines w:val="0"/>
              <w:pageBreakBefore w:val="0"/>
              <w:widowControl w:val="0"/>
              <w:kinsoku/>
              <w:wordWrap/>
              <w:overflowPunct/>
              <w:topLinePunct w:val="0"/>
              <w:bidi w:val="0"/>
              <w:adjustRightInd w:val="0"/>
              <w:snapToGrid w:val="0"/>
              <w:spacing w:line="288" w:lineRule="auto"/>
              <w:jc w:val="center"/>
              <w:textAlignment w:val="baseline"/>
              <w:rPr>
                <w:rFonts w:hint="default" w:ascii="宋体" w:hAnsi="宋体" w:eastAsia="宋体" w:cs="宋体"/>
                <w:bCs/>
                <w:snapToGrid w:val="0"/>
                <w:color w:val="auto"/>
                <w:sz w:val="24"/>
                <w:szCs w:val="24"/>
                <w:highlight w:val="none"/>
                <w:lang w:val="en-US" w:eastAsia="zh-CN"/>
              </w:rPr>
            </w:pPr>
            <w:r>
              <w:rPr>
                <w:rFonts w:hint="eastAsia" w:ascii="宋体" w:hAnsi="宋体" w:cs="宋体"/>
                <w:bCs/>
                <w:snapToGrid w:val="0"/>
                <w:color w:val="auto"/>
                <w:sz w:val="24"/>
                <w:szCs w:val="24"/>
                <w:highlight w:val="none"/>
                <w:lang w:val="en-US" w:eastAsia="zh-CN"/>
              </w:rPr>
              <w:t>12</w:t>
            </w:r>
          </w:p>
        </w:tc>
        <w:tc>
          <w:tcPr>
            <w:tcW w:w="4423" w:type="pct"/>
            <w:vAlign w:val="center"/>
          </w:tcPr>
          <w:p w14:paraId="0DA3D98C">
            <w:pPr>
              <w:keepNext w:val="0"/>
              <w:keepLines w:val="0"/>
              <w:pageBreakBefore w:val="0"/>
              <w:widowControl w:val="0"/>
              <w:kinsoku/>
              <w:wordWrap/>
              <w:overflowPunct/>
              <w:topLinePunct w:val="0"/>
              <w:bidi w:val="0"/>
              <w:adjustRightInd w:val="0"/>
              <w:snapToGrid w:val="0"/>
              <w:spacing w:line="288" w:lineRule="auto"/>
              <w:jc w:val="both"/>
              <w:textAlignment w:val="baseline"/>
              <w:rPr>
                <w:rFonts w:hint="eastAsia" w:ascii="宋体" w:hAnsi="宋体" w:eastAsia="宋体" w:cs="宋体"/>
                <w:bCs/>
                <w:snapToGrid w:val="0"/>
                <w:color w:val="auto"/>
                <w:sz w:val="24"/>
                <w:szCs w:val="24"/>
                <w:highlight w:val="none"/>
              </w:rPr>
            </w:pPr>
            <w:r>
              <w:rPr>
                <w:rFonts w:hint="eastAsia" w:ascii="宋体" w:hAnsi="宋体" w:cs="宋体"/>
                <w:bCs/>
                <w:snapToGrid w:val="0"/>
                <w:color w:val="auto"/>
                <w:sz w:val="24"/>
                <w:szCs w:val="24"/>
                <w:highlight w:val="none"/>
                <w:lang w:eastAsia="zh-CN"/>
              </w:rPr>
              <w:t>招标文件规定的其他内容</w:t>
            </w:r>
          </w:p>
        </w:tc>
      </w:tr>
    </w:tbl>
    <w:p w14:paraId="2DA2B52A">
      <w:pPr>
        <w:spacing w:line="440" w:lineRule="exact"/>
        <w:jc w:val="both"/>
        <w:rPr>
          <w:rFonts w:hint="eastAsia" w:ascii="宋体" w:hAnsi="宋体" w:cs="宋体"/>
          <w:b/>
          <w:color w:val="auto"/>
          <w:sz w:val="24"/>
          <w:szCs w:val="24"/>
          <w:highlight w:val="yellow"/>
          <w:lang w:val="en-US" w:eastAsia="zh-CN"/>
        </w:rPr>
      </w:pPr>
    </w:p>
    <w:p w14:paraId="6C117056">
      <w:pPr>
        <w:spacing w:line="440" w:lineRule="exact"/>
        <w:jc w:val="both"/>
        <w:rPr>
          <w:rFonts w:hint="eastAsia" w:ascii="宋体" w:hAnsi="宋体" w:cs="宋体"/>
          <w:b/>
          <w:color w:val="auto"/>
          <w:sz w:val="24"/>
          <w:szCs w:val="24"/>
          <w:highlight w:val="yellow"/>
          <w:lang w:val="en-US" w:eastAsia="zh-CN"/>
        </w:rPr>
      </w:pPr>
    </w:p>
    <w:p w14:paraId="26DC07A2">
      <w:pPr>
        <w:pStyle w:val="30"/>
        <w:rPr>
          <w:rFonts w:hint="eastAsia" w:ascii="宋体" w:hAnsi="宋体" w:cs="宋体"/>
          <w:b/>
          <w:color w:val="auto"/>
          <w:sz w:val="24"/>
          <w:szCs w:val="24"/>
          <w:highlight w:val="yellow"/>
          <w:lang w:val="en-US" w:eastAsia="zh-CN"/>
        </w:rPr>
      </w:pPr>
    </w:p>
    <w:p w14:paraId="540DDB13">
      <w:pPr>
        <w:rPr>
          <w:rFonts w:hint="eastAsia" w:ascii="宋体" w:hAnsi="宋体" w:cs="宋体"/>
          <w:b/>
          <w:color w:val="auto"/>
          <w:sz w:val="24"/>
          <w:szCs w:val="24"/>
          <w:highlight w:val="yellow"/>
          <w:lang w:val="en-US" w:eastAsia="zh-CN"/>
        </w:rPr>
      </w:pPr>
    </w:p>
    <w:p w14:paraId="175662A0">
      <w:pPr>
        <w:pStyle w:val="30"/>
        <w:rPr>
          <w:rFonts w:hint="eastAsia" w:ascii="宋体" w:hAnsi="宋体" w:cs="宋体"/>
          <w:b/>
          <w:color w:val="auto"/>
          <w:sz w:val="24"/>
          <w:szCs w:val="24"/>
          <w:highlight w:val="yellow"/>
          <w:lang w:val="en-US" w:eastAsia="zh-CN"/>
        </w:rPr>
      </w:pPr>
    </w:p>
    <w:p w14:paraId="4849B408">
      <w:pPr>
        <w:rPr>
          <w:rFonts w:hint="eastAsia"/>
          <w:lang w:val="en-US" w:eastAsia="zh-CN"/>
        </w:rPr>
      </w:pPr>
    </w:p>
    <w:p w14:paraId="6C66730A">
      <w:pPr>
        <w:keepNext w:val="0"/>
        <w:keepLines w:val="0"/>
        <w:pageBreakBefore w:val="0"/>
        <w:widowControl/>
        <w:kinsoku/>
        <w:wordWrap/>
        <w:overflowPunct/>
        <w:topLinePunct w:val="0"/>
        <w:bidi w:val="0"/>
        <w:snapToGrid/>
        <w:spacing w:line="360" w:lineRule="auto"/>
        <w:ind w:firstLine="482" w:firstLineChars="200"/>
        <w:jc w:val="both"/>
        <w:textAlignment w:val="auto"/>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三</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详细评审</w:t>
      </w:r>
    </w:p>
    <w:tbl>
      <w:tblPr>
        <w:tblStyle w:val="4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8"/>
        <w:gridCol w:w="1166"/>
        <w:gridCol w:w="1171"/>
        <w:gridCol w:w="869"/>
        <w:gridCol w:w="4445"/>
      </w:tblGrid>
      <w:tr w14:paraId="0AE9B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C1B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3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6E1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评分项目</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81F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基准分值</w:t>
            </w:r>
          </w:p>
        </w:tc>
        <w:tc>
          <w:tcPr>
            <w:tcW w:w="2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0A1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评分标准</w:t>
            </w:r>
          </w:p>
        </w:tc>
      </w:tr>
      <w:tr w14:paraId="4F83C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AFF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76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价格因素分（30分）</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D2F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价格</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70B9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30分</w:t>
            </w:r>
          </w:p>
        </w:tc>
        <w:tc>
          <w:tcPr>
            <w:tcW w:w="2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1FFD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投标报价得分：以按照招标文件规定修正后的所有合格投标人的评标价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的最低价作为评分基准价。投标人的价格分按下式计算：价格分=（评分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基准价/评标价）×30 。</w:t>
            </w:r>
          </w:p>
        </w:tc>
      </w:tr>
      <w:tr w14:paraId="36966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71B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2CE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商务因素分（15）</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B89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类似业绩</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9AF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3分</w:t>
            </w:r>
          </w:p>
        </w:tc>
        <w:tc>
          <w:tcPr>
            <w:tcW w:w="2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49AF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近三年（2022年-至今）投标人具有类似业绩合同每提供一项的得1分，满分</w:t>
            </w:r>
            <w:r>
              <w:rPr>
                <w:rFonts w:hint="eastAsia" w:ascii="仿宋" w:hAnsi="仿宋" w:eastAsia="仿宋" w:cs="仿宋"/>
                <w:sz w:val="24"/>
                <w:szCs w:val="24"/>
                <w:lang w:val="en-US" w:eastAsia="zh-CN"/>
              </w:rPr>
              <w:t>3</w:t>
            </w:r>
            <w:r>
              <w:rPr>
                <w:rFonts w:hint="eastAsia" w:ascii="仿宋" w:hAnsi="仿宋" w:eastAsia="仿宋" w:cs="仿宋"/>
                <w:sz w:val="24"/>
                <w:szCs w:val="24"/>
              </w:rPr>
              <w:t>分。（评审依据：提供合同或中标通知书</w:t>
            </w:r>
            <w:r>
              <w:rPr>
                <w:rFonts w:hint="eastAsia" w:ascii="仿宋" w:hAnsi="仿宋" w:eastAsia="仿宋" w:cs="仿宋"/>
                <w:sz w:val="24"/>
                <w:szCs w:val="24"/>
                <w:lang w:val="en-US" w:eastAsia="zh-CN"/>
              </w:rPr>
              <w:t>复印件</w:t>
            </w:r>
            <w:r>
              <w:rPr>
                <w:rFonts w:hint="eastAsia" w:ascii="仿宋" w:hAnsi="仿宋" w:eastAsia="仿宋" w:cs="仿宋"/>
                <w:sz w:val="24"/>
                <w:szCs w:val="24"/>
              </w:rPr>
              <w:t>加盖公章）</w:t>
            </w:r>
          </w:p>
        </w:tc>
      </w:tr>
      <w:tr w14:paraId="3A1C8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3E1D2">
            <w:pPr>
              <w:jc w:val="center"/>
              <w:rPr>
                <w:rFonts w:hint="eastAsia" w:ascii="仿宋" w:hAnsi="仿宋" w:eastAsia="仿宋" w:cs="仿宋"/>
                <w:i w:val="0"/>
                <w:iCs w:val="0"/>
                <w:color w:val="000000"/>
                <w:sz w:val="24"/>
                <w:szCs w:val="24"/>
                <w:u w:val="none"/>
              </w:rPr>
            </w:pPr>
          </w:p>
        </w:tc>
        <w:tc>
          <w:tcPr>
            <w:tcW w:w="6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A6DF0">
            <w:pPr>
              <w:jc w:val="center"/>
              <w:rPr>
                <w:rFonts w:hint="eastAsia" w:ascii="仿宋" w:hAnsi="仿宋" w:eastAsia="仿宋" w:cs="仿宋"/>
                <w:i w:val="0"/>
                <w:iCs w:val="0"/>
                <w:color w:val="000000"/>
                <w:sz w:val="24"/>
                <w:szCs w:val="24"/>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E59D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rPr>
              <w:t>售后服务</w:t>
            </w:r>
            <w:r>
              <w:rPr>
                <w:rFonts w:hint="eastAsia" w:ascii="仿宋" w:hAnsi="仿宋" w:eastAsia="仿宋" w:cs="仿宋"/>
                <w:i w:val="0"/>
                <w:iCs w:val="0"/>
                <w:color w:val="000000"/>
                <w:sz w:val="24"/>
                <w:szCs w:val="24"/>
                <w:u w:val="none"/>
                <w:lang w:val="en-US" w:eastAsia="zh-CN"/>
              </w:rPr>
              <w:t>方案</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80E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12分</w:t>
            </w:r>
          </w:p>
        </w:tc>
        <w:tc>
          <w:tcPr>
            <w:tcW w:w="2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C0E6A">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针对本项目提供的售后服务方案包含但不限于：</w:t>
            </w:r>
          </w:p>
          <w:p w14:paraId="0A156ACB">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1.响应机制</w:t>
            </w:r>
          </w:p>
          <w:p w14:paraId="6C32EBFA">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2.售后服务流程</w:t>
            </w:r>
          </w:p>
          <w:p w14:paraId="1412017D">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3.售后服务保障措施</w:t>
            </w:r>
          </w:p>
          <w:p w14:paraId="2DDC98C6">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4.应急保障措施</w:t>
            </w:r>
          </w:p>
          <w:p w14:paraId="1EB14B18">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以上内容每提供一小项内容完整、与项目需求吻合、思路清晰、层次细化、有具体详细的阐述且符合项目要求的得</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分，最高得1</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分。每缺少一项内容的扣</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分，每有一处需求分析内容存在缺陷或不足的扣1</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分，扣完为止。</w:t>
            </w:r>
          </w:p>
          <w:p w14:paraId="3D14C59E">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（本项最多得1</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分）</w:t>
            </w:r>
          </w:p>
          <w:p w14:paraId="2D3B455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000000"/>
                <w:sz w:val="24"/>
                <w:szCs w:val="24"/>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r>
      <w:tr w14:paraId="244C3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09" w:type="pct"/>
            <w:vMerge w:val="restart"/>
            <w:tcBorders>
              <w:top w:val="single" w:color="000000" w:sz="4" w:space="0"/>
              <w:left w:val="single" w:color="000000" w:sz="4" w:space="0"/>
              <w:right w:val="single" w:color="000000" w:sz="4" w:space="0"/>
            </w:tcBorders>
            <w:shd w:val="clear" w:color="auto" w:fill="auto"/>
            <w:vAlign w:val="center"/>
          </w:tcPr>
          <w:p w14:paraId="502B95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84" w:type="pct"/>
            <w:vMerge w:val="restart"/>
            <w:tcBorders>
              <w:top w:val="single" w:color="000000" w:sz="4" w:space="0"/>
              <w:left w:val="single" w:color="000000" w:sz="4" w:space="0"/>
              <w:right w:val="single" w:color="000000" w:sz="4" w:space="0"/>
            </w:tcBorders>
            <w:shd w:val="clear" w:color="auto" w:fill="auto"/>
            <w:vAlign w:val="center"/>
          </w:tcPr>
          <w:p w14:paraId="2B20C7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技术因素分（55分）</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878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涡度相关通量观测系统</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1E527">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4分</w:t>
            </w:r>
          </w:p>
        </w:tc>
        <w:tc>
          <w:tcPr>
            <w:tcW w:w="2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7E82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1、涡度测量硬件设置标准：气体分析仪和三维超声风速仪必须彼此分离不能一体化，以减小分析器对风速测定的影响（尤其是垂直风分量）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 RMS噪音/分辨率（CO</w:t>
            </w:r>
            <w:r>
              <w:rPr>
                <w:rFonts w:hint="eastAsia" w:ascii="仿宋" w:hAnsi="仿宋" w:eastAsia="仿宋" w:cs="仿宋"/>
                <w:i w:val="0"/>
                <w:iCs w:val="0"/>
                <w:color w:val="000000"/>
                <w:kern w:val="0"/>
                <w:sz w:val="24"/>
                <w:szCs w:val="24"/>
                <w:u w:val="none"/>
                <w:vertAlign w:val="subscript"/>
                <w:lang w:val="en-US" w:eastAsia="zh-CN" w:bidi="ar"/>
              </w:rPr>
              <w:t>2</w:t>
            </w:r>
            <w:r>
              <w:rPr>
                <w:rFonts w:hint="eastAsia" w:ascii="仿宋" w:hAnsi="仿宋" w:eastAsia="仿宋" w:cs="仿宋"/>
                <w:i w:val="0"/>
                <w:iCs w:val="0"/>
                <w:color w:val="000000"/>
                <w:kern w:val="0"/>
                <w:sz w:val="24"/>
                <w:szCs w:val="24"/>
                <w:u w:val="none"/>
                <w:lang w:val="en-US" w:eastAsia="zh-CN" w:bidi="ar"/>
              </w:rPr>
              <w:t>浓度为370µmol/mol时的典型值）：5 Hz：≤0.08µmol/mol；10 Hz：≤0.11µmol/mol。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注：以上参数需要提供产品彩页，盖制造商公章或代理商公章，提供一项得2分，共4分，不提供不得分。</w:t>
            </w:r>
          </w:p>
        </w:tc>
      </w:tr>
      <w:tr w14:paraId="5C60E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09" w:type="pct"/>
            <w:vMerge w:val="continue"/>
            <w:tcBorders>
              <w:left w:val="single" w:color="000000" w:sz="4" w:space="0"/>
              <w:right w:val="single" w:color="000000" w:sz="4" w:space="0"/>
            </w:tcBorders>
            <w:shd w:val="clear" w:color="auto" w:fill="auto"/>
            <w:vAlign w:val="center"/>
          </w:tcPr>
          <w:p w14:paraId="491510B4">
            <w:pPr>
              <w:jc w:val="center"/>
              <w:rPr>
                <w:rFonts w:hint="eastAsia" w:ascii="仿宋" w:hAnsi="仿宋" w:eastAsia="仿宋" w:cs="仿宋"/>
                <w:i w:val="0"/>
                <w:iCs w:val="0"/>
                <w:color w:val="000000"/>
                <w:sz w:val="24"/>
                <w:szCs w:val="24"/>
                <w:u w:val="none"/>
              </w:rPr>
            </w:pPr>
          </w:p>
        </w:tc>
        <w:tc>
          <w:tcPr>
            <w:tcW w:w="684" w:type="pct"/>
            <w:vMerge w:val="continue"/>
            <w:tcBorders>
              <w:left w:val="single" w:color="000000" w:sz="4" w:space="0"/>
              <w:right w:val="single" w:color="000000" w:sz="4" w:space="0"/>
            </w:tcBorders>
            <w:shd w:val="clear" w:color="auto" w:fill="auto"/>
            <w:vAlign w:val="center"/>
          </w:tcPr>
          <w:p w14:paraId="2B026B2A">
            <w:pPr>
              <w:jc w:val="center"/>
              <w:rPr>
                <w:rFonts w:hint="eastAsia" w:ascii="仿宋" w:hAnsi="仿宋" w:eastAsia="仿宋" w:cs="仿宋"/>
                <w:i w:val="0"/>
                <w:iCs w:val="0"/>
                <w:color w:val="000000"/>
                <w:sz w:val="24"/>
                <w:szCs w:val="24"/>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A85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大气温室气体测量系统</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DEBA2">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8分</w:t>
            </w:r>
          </w:p>
        </w:tc>
        <w:tc>
          <w:tcPr>
            <w:tcW w:w="2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E907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1、操作环境: -25℃ </w:t>
            </w:r>
            <w:r>
              <w:rPr>
                <w:rFonts w:hint="eastAsia" w:ascii="宋体" w:hAnsi="宋体" w:eastAsia="宋体" w:cs="宋体"/>
                <w:color w:val="000000" w:themeColor="text1"/>
                <w:kern w:val="0"/>
                <w:sz w:val="22"/>
                <w:szCs w:val="22"/>
                <w:lang w:eastAsia="zh-CN"/>
                <w14:textFill>
                  <w14:solidFill>
                    <w14:schemeClr w14:val="tx1"/>
                  </w14:solidFill>
                </w14:textFill>
              </w:rPr>
              <w:t>～</w:t>
            </w:r>
            <w:r>
              <w:rPr>
                <w:rFonts w:hint="eastAsia" w:ascii="宋体" w:hAnsi="宋体" w:eastAsia="宋体" w:cs="宋体"/>
                <w:color w:val="000000" w:themeColor="text1"/>
                <w:kern w:val="0"/>
                <w:sz w:val="22"/>
                <w:szCs w:val="22"/>
                <w14:textFill>
                  <w14:solidFill>
                    <w14:schemeClr w14:val="tx1"/>
                  </w14:solidFill>
                </w14:textFill>
              </w:rPr>
              <w:t xml:space="preserve"> </w:t>
            </w:r>
            <w:r>
              <w:rPr>
                <w:rFonts w:hint="eastAsia" w:ascii="仿宋" w:hAnsi="仿宋" w:eastAsia="仿宋" w:cs="仿宋"/>
                <w:i w:val="0"/>
                <w:iCs w:val="0"/>
                <w:color w:val="000000"/>
                <w:kern w:val="0"/>
                <w:sz w:val="24"/>
                <w:szCs w:val="24"/>
                <w:u w:val="none"/>
                <w:lang w:val="en-US" w:eastAsia="zh-CN" w:bidi="ar"/>
              </w:rPr>
              <w:t xml:space="preserve">45 ℃；70 </w:t>
            </w:r>
            <w:r>
              <w:rPr>
                <w:rFonts w:hint="eastAsia" w:ascii="宋体" w:hAnsi="宋体" w:eastAsia="宋体" w:cs="宋体"/>
                <w:color w:val="000000" w:themeColor="text1"/>
                <w:kern w:val="0"/>
                <w:sz w:val="22"/>
                <w:szCs w:val="22"/>
                <w:lang w:eastAsia="zh-CN"/>
                <w14:textFill>
                  <w14:solidFill>
                    <w14:schemeClr w14:val="tx1"/>
                  </w14:solidFill>
                </w14:textFill>
              </w:rPr>
              <w:t>～</w:t>
            </w:r>
            <w:r>
              <w:rPr>
                <w:rFonts w:hint="eastAsia" w:ascii="宋体" w:hAnsi="宋体" w:eastAsia="宋体" w:cs="宋体"/>
                <w:color w:val="000000" w:themeColor="text1"/>
                <w:kern w:val="0"/>
                <w:sz w:val="22"/>
                <w:szCs w:val="22"/>
                <w14:textFill>
                  <w14:solidFill>
                    <w14:schemeClr w14:val="tx1"/>
                  </w14:solidFill>
                </w14:textFill>
              </w:rPr>
              <w:t xml:space="preserve"> </w:t>
            </w:r>
            <w:r>
              <w:rPr>
                <w:rFonts w:hint="eastAsia" w:ascii="仿宋" w:hAnsi="仿宋" w:eastAsia="仿宋" w:cs="仿宋"/>
                <w:i w:val="0"/>
                <w:iCs w:val="0"/>
                <w:color w:val="000000"/>
                <w:kern w:val="0"/>
                <w:sz w:val="24"/>
                <w:szCs w:val="24"/>
                <w:u w:val="none"/>
                <w:lang w:val="en-US" w:eastAsia="zh-CN" w:bidi="ar"/>
              </w:rPr>
              <w:t xml:space="preserve"> 110 kPa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2、功耗: 稳态≤20W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3、响应时间(T</w:t>
            </w:r>
            <w:r>
              <w:rPr>
                <w:rFonts w:hint="eastAsia" w:ascii="仿宋" w:hAnsi="仿宋" w:eastAsia="仿宋" w:cs="仿宋"/>
                <w:i w:val="0"/>
                <w:iCs w:val="0"/>
                <w:color w:val="000000"/>
                <w:kern w:val="0"/>
                <w:sz w:val="24"/>
                <w:szCs w:val="24"/>
                <w:u w:val="none"/>
                <w:vertAlign w:val="subscript"/>
                <w:lang w:val="en-US" w:eastAsia="zh-CN" w:bidi="ar"/>
              </w:rPr>
              <w:t>90</w:t>
            </w:r>
            <w:r>
              <w:rPr>
                <w:rFonts w:hint="eastAsia" w:ascii="仿宋" w:hAnsi="仿宋" w:eastAsia="仿宋" w:cs="仿宋"/>
                <w:i w:val="0"/>
                <w:iCs w:val="0"/>
                <w:color w:val="000000"/>
                <w:kern w:val="0"/>
                <w:sz w:val="24"/>
                <w:szCs w:val="24"/>
                <w:u w:val="none"/>
                <w:lang w:val="en-US" w:eastAsia="zh-CN" w:bidi="ar"/>
              </w:rPr>
              <w:t>): 从 0 到 2 μmol/mol， CH</w:t>
            </w:r>
            <w:r>
              <w:rPr>
                <w:rFonts w:hint="eastAsia" w:ascii="仿宋" w:hAnsi="仿宋" w:eastAsia="仿宋" w:cs="仿宋"/>
                <w:i w:val="0"/>
                <w:iCs w:val="0"/>
                <w:color w:val="000000"/>
                <w:kern w:val="0"/>
                <w:sz w:val="24"/>
                <w:szCs w:val="24"/>
                <w:u w:val="none"/>
                <w:vertAlign w:val="subscript"/>
                <w:lang w:val="en-US" w:eastAsia="zh-CN" w:bidi="ar"/>
              </w:rPr>
              <w:t>4</w:t>
            </w:r>
            <w:r>
              <w:rPr>
                <w:rFonts w:hint="eastAsia" w:ascii="仿宋" w:hAnsi="仿宋" w:eastAsia="仿宋" w:cs="仿宋"/>
                <w:i w:val="0"/>
                <w:iCs w:val="0"/>
                <w:color w:val="000000"/>
                <w:kern w:val="0"/>
                <w:sz w:val="24"/>
                <w:szCs w:val="24"/>
                <w:u w:val="none"/>
                <w:lang w:val="en-US" w:eastAsia="zh-CN" w:bidi="ar"/>
              </w:rPr>
              <w:t xml:space="preserve"> 响应时间≤2 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w:t>
            </w:r>
            <w:r>
              <w:rPr>
                <w:rFonts w:hint="eastAsia" w:ascii="仿宋" w:hAnsi="仿宋" w:eastAsia="仿宋" w:cs="仿宋"/>
                <w:i w:val="0"/>
                <w:iCs w:val="0"/>
                <w:color w:val="auto"/>
                <w:kern w:val="0"/>
                <w:sz w:val="24"/>
                <w:szCs w:val="24"/>
                <w:highlight w:val="none"/>
                <w:u w:val="none"/>
                <w:lang w:val="en-US" w:eastAsia="zh-CN" w:bidi="ar"/>
              </w:rPr>
              <w:t>、CH</w:t>
            </w:r>
            <w:r>
              <w:rPr>
                <w:rFonts w:hint="eastAsia" w:ascii="仿宋" w:hAnsi="仿宋" w:eastAsia="仿宋" w:cs="仿宋"/>
                <w:i w:val="0"/>
                <w:iCs w:val="0"/>
                <w:color w:val="auto"/>
                <w:kern w:val="0"/>
                <w:sz w:val="24"/>
                <w:szCs w:val="24"/>
                <w:highlight w:val="none"/>
                <w:u w:val="none"/>
                <w:vertAlign w:val="subscript"/>
                <w:lang w:val="en-US" w:eastAsia="zh-CN" w:bidi="ar"/>
              </w:rPr>
              <w:t>4</w:t>
            </w:r>
            <w:r>
              <w:rPr>
                <w:rFonts w:hint="eastAsia" w:ascii="仿宋" w:hAnsi="仿宋" w:eastAsia="仿宋" w:cs="仿宋"/>
                <w:i w:val="0"/>
                <w:iCs w:val="0"/>
                <w:color w:val="auto"/>
                <w:kern w:val="0"/>
                <w:sz w:val="24"/>
                <w:szCs w:val="24"/>
                <w:highlight w:val="none"/>
                <w:u w:val="none"/>
                <w:lang w:val="en-US" w:eastAsia="zh-CN" w:bidi="ar"/>
              </w:rPr>
              <w:t>测量范围：</w:t>
            </w:r>
            <w:r>
              <w:rPr>
                <w:rFonts w:hint="eastAsia" w:ascii="宋体" w:hAnsi="宋体" w:cs="宋体"/>
                <w:color w:val="auto"/>
                <w:kern w:val="0"/>
                <w:sz w:val="22"/>
                <w:szCs w:val="22"/>
                <w:highlight w:val="none"/>
                <w:lang w:val="en-US" w:eastAsia="zh-CN"/>
              </w:rPr>
              <w:t>0</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100</w:t>
            </w:r>
            <w:r>
              <w:rPr>
                <w:rFonts w:hint="eastAsia" w:ascii="仿宋" w:hAnsi="仿宋" w:eastAsia="仿宋" w:cs="仿宋"/>
                <w:i w:val="0"/>
                <w:iCs w:val="0"/>
                <w:color w:val="auto"/>
                <w:kern w:val="0"/>
                <w:sz w:val="24"/>
                <w:szCs w:val="24"/>
                <w:highlight w:val="none"/>
                <w:u w:val="none"/>
                <w:lang w:val="en-US" w:eastAsia="zh-CN" w:bidi="ar"/>
              </w:rPr>
              <w:t>μmol/mol；</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注：以上参数需要提供</w:t>
            </w:r>
            <w:r>
              <w:rPr>
                <w:rFonts w:hint="eastAsia" w:ascii="仿宋" w:hAnsi="仿宋" w:eastAsia="仿宋" w:cs="仿宋"/>
                <w:i w:val="0"/>
                <w:iCs w:val="0"/>
                <w:color w:val="000000"/>
                <w:kern w:val="0"/>
                <w:sz w:val="24"/>
                <w:szCs w:val="24"/>
                <w:u w:val="none"/>
                <w:lang w:val="en-US" w:eastAsia="zh-CN" w:bidi="ar"/>
              </w:rPr>
              <w:t>产品彩页，盖制造商公章或代理商公章，提供一项得2分，共8分，不提供不得分。</w:t>
            </w:r>
          </w:p>
        </w:tc>
      </w:tr>
      <w:tr w14:paraId="73C10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509" w:type="pct"/>
            <w:vMerge w:val="continue"/>
            <w:tcBorders>
              <w:left w:val="single" w:color="000000" w:sz="4" w:space="0"/>
              <w:right w:val="single" w:color="000000" w:sz="4" w:space="0"/>
            </w:tcBorders>
            <w:shd w:val="clear" w:color="auto" w:fill="auto"/>
            <w:vAlign w:val="center"/>
          </w:tcPr>
          <w:p w14:paraId="4296ECFA">
            <w:pPr>
              <w:jc w:val="center"/>
              <w:rPr>
                <w:rFonts w:hint="eastAsia" w:ascii="仿宋" w:hAnsi="仿宋" w:eastAsia="仿宋" w:cs="仿宋"/>
                <w:i w:val="0"/>
                <w:iCs w:val="0"/>
                <w:color w:val="000000"/>
                <w:sz w:val="24"/>
                <w:szCs w:val="24"/>
                <w:u w:val="none"/>
              </w:rPr>
            </w:pPr>
          </w:p>
        </w:tc>
        <w:tc>
          <w:tcPr>
            <w:tcW w:w="684" w:type="pct"/>
            <w:vMerge w:val="continue"/>
            <w:tcBorders>
              <w:left w:val="single" w:color="000000" w:sz="4" w:space="0"/>
              <w:right w:val="single" w:color="000000" w:sz="4" w:space="0"/>
            </w:tcBorders>
            <w:shd w:val="clear" w:color="auto" w:fill="auto"/>
            <w:vAlign w:val="center"/>
          </w:tcPr>
          <w:p w14:paraId="1E12AC29">
            <w:pPr>
              <w:jc w:val="center"/>
              <w:rPr>
                <w:rFonts w:hint="eastAsia" w:ascii="仿宋" w:hAnsi="仿宋" w:eastAsia="仿宋" w:cs="仿宋"/>
                <w:i w:val="0"/>
                <w:iCs w:val="0"/>
                <w:color w:val="000000"/>
                <w:sz w:val="24"/>
                <w:szCs w:val="24"/>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56D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土壤碳水分析仪（实验室土壤矿化培养试验）</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59766">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8分</w:t>
            </w:r>
          </w:p>
        </w:tc>
        <w:tc>
          <w:tcPr>
            <w:tcW w:w="2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D40DD">
            <w:pPr>
              <w:keepNext w:val="0"/>
              <w:keepLines w:val="0"/>
              <w:widowControl/>
              <w:suppressLineNumbers w:val="0"/>
              <w:jc w:val="left"/>
              <w:textAlignment w:val="center"/>
              <w:rPr>
                <w:ins w:id="18" w:author="[嘿哈]" w:date="2025-06-25T12:22:25Z"/>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1、自动压力补偿范围：50 kPa-110kPa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2、仪器内置气泵：典型流速：≤0.5 L/min，功率：≤0.75 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3、校准漂移（°C</w:t>
            </w:r>
            <w:r>
              <w:rPr>
                <w:rFonts w:hint="eastAsia" w:ascii="仿宋" w:hAnsi="仿宋" w:eastAsia="仿宋" w:cs="仿宋"/>
                <w:i w:val="0"/>
                <w:iCs w:val="0"/>
                <w:color w:val="000000"/>
                <w:kern w:val="0"/>
                <w:sz w:val="24"/>
                <w:szCs w:val="24"/>
                <w:u w:val="none"/>
                <w:vertAlign w:val="superscript"/>
                <w:lang w:val="en-US" w:eastAsia="zh-CN" w:bidi="ar"/>
              </w:rPr>
              <w:t>-1</w:t>
            </w:r>
            <w:r>
              <w:rPr>
                <w:rFonts w:hint="eastAsia" w:ascii="仿宋" w:hAnsi="仿宋" w:eastAsia="仿宋" w:cs="仿宋"/>
                <w:i w:val="0"/>
                <w:iCs w:val="0"/>
                <w:color w:val="000000"/>
                <w:kern w:val="0"/>
                <w:sz w:val="24"/>
                <w:szCs w:val="24"/>
                <w:u w:val="none"/>
                <w:lang w:val="en-US" w:eastAsia="zh-CN" w:bidi="ar"/>
              </w:rPr>
              <w:t xml:space="preserve">）：零点漂移: </w:t>
            </w:r>
            <w:r>
              <w:rPr>
                <w:rFonts w:hint="eastAsia" w:ascii="仿宋" w:hAnsi="仿宋" w:eastAsia="仿宋" w:cs="仿宋"/>
                <w:i w:val="0"/>
                <w:iCs w:val="0"/>
                <w:color w:val="0000FF"/>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0.15μmol mol</w:t>
            </w:r>
            <w:r>
              <w:rPr>
                <w:rFonts w:hint="eastAsia" w:ascii="仿宋" w:hAnsi="仿宋" w:eastAsia="仿宋" w:cs="仿宋"/>
                <w:i w:val="0"/>
                <w:iCs w:val="0"/>
                <w:color w:val="000000"/>
                <w:kern w:val="0"/>
                <w:sz w:val="24"/>
                <w:szCs w:val="24"/>
                <w:u w:val="none"/>
                <w:vertAlign w:val="superscript"/>
                <w:lang w:val="en-US" w:eastAsia="zh-CN" w:bidi="ar"/>
              </w:rPr>
              <w:t>-1</w:t>
            </w:r>
            <w:r>
              <w:rPr>
                <w:rFonts w:hint="eastAsia" w:ascii="仿宋" w:hAnsi="仿宋" w:eastAsia="仿宋" w:cs="仿宋"/>
                <w:i w:val="0"/>
                <w:iCs w:val="0"/>
                <w:color w:val="000000"/>
                <w:kern w:val="0"/>
                <w:sz w:val="24"/>
                <w:szCs w:val="24"/>
                <w:u w:val="none"/>
                <w:lang w:val="en-US" w:eastAsia="zh-CN" w:bidi="ar"/>
              </w:rPr>
              <w:t xml:space="preserve">；跨度漂移: </w:t>
            </w:r>
            <w:r>
              <w:rPr>
                <w:rFonts w:hint="eastAsia" w:ascii="仿宋" w:hAnsi="仿宋" w:eastAsia="仿宋" w:cs="仿宋"/>
                <w:i w:val="0"/>
                <w:iCs w:val="0"/>
                <w:color w:val="0000FF"/>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 xml:space="preserve">0.03 %；总漂移: </w:t>
            </w:r>
            <w:r>
              <w:rPr>
                <w:rFonts w:hint="eastAsia" w:ascii="仿宋" w:hAnsi="仿宋" w:eastAsia="仿宋" w:cs="仿宋"/>
                <w:i w:val="0"/>
                <w:iCs w:val="0"/>
                <w:color w:val="0000FF"/>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0.4μmol mol</w:t>
            </w:r>
            <w:r>
              <w:rPr>
                <w:rFonts w:hint="eastAsia" w:ascii="仿宋" w:hAnsi="仿宋" w:eastAsia="仿宋" w:cs="仿宋"/>
                <w:i w:val="0"/>
                <w:iCs w:val="0"/>
                <w:color w:val="000000"/>
                <w:kern w:val="0"/>
                <w:sz w:val="24"/>
                <w:szCs w:val="24"/>
                <w:u w:val="none"/>
                <w:vertAlign w:val="superscript"/>
                <w:lang w:val="en-US" w:eastAsia="zh-CN" w:bidi="ar"/>
              </w:rPr>
              <w:t>-1</w:t>
            </w:r>
            <w:r>
              <w:rPr>
                <w:rFonts w:hint="eastAsia" w:ascii="仿宋" w:hAnsi="仿宋" w:eastAsia="仿宋" w:cs="仿宋"/>
                <w:i w:val="0"/>
                <w:iCs w:val="0"/>
                <w:color w:val="000000"/>
                <w:kern w:val="0"/>
                <w:sz w:val="24"/>
                <w:szCs w:val="24"/>
                <w:u w:val="none"/>
                <w:lang w:val="en-US" w:eastAsia="zh-CN" w:bidi="ar"/>
              </w:rPr>
              <w:t>@370μmol mol</w:t>
            </w:r>
            <w:r>
              <w:rPr>
                <w:rFonts w:hint="eastAsia" w:ascii="仿宋" w:hAnsi="仿宋" w:eastAsia="仿宋" w:cs="仿宋"/>
                <w:i w:val="0"/>
                <w:iCs w:val="0"/>
                <w:color w:val="000000"/>
                <w:kern w:val="0"/>
                <w:sz w:val="24"/>
                <w:szCs w:val="24"/>
                <w:u w:val="none"/>
                <w:vertAlign w:val="superscript"/>
                <w:lang w:val="en-US" w:eastAsia="zh-CN" w:bidi="ar"/>
              </w:rPr>
              <w:t>-1</w:t>
            </w:r>
            <w:r>
              <w:rPr>
                <w:rFonts w:hint="eastAsia" w:ascii="仿宋" w:hAnsi="仿宋" w:eastAsia="仿宋" w:cs="仿宋"/>
                <w:i w:val="0"/>
                <w:iCs w:val="0"/>
                <w:color w:val="000000"/>
                <w:kern w:val="0"/>
                <w:sz w:val="24"/>
                <w:szCs w:val="24"/>
                <w:u w:val="none"/>
                <w:lang w:val="en-US" w:eastAsia="zh-CN" w:bidi="ar"/>
              </w:rPr>
              <w:t>。</w:t>
            </w:r>
          </w:p>
          <w:p w14:paraId="2E39FA4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r>
              <w:rPr>
                <w:rFonts w:hint="eastAsia" w:ascii="宋体" w:hAnsi="宋体" w:eastAsia="宋体" w:cs="宋体"/>
                <w:color w:val="000000"/>
                <w:kern w:val="0"/>
                <w:sz w:val="22"/>
                <w:szCs w:val="22"/>
              </w:rPr>
              <w:t>对H</w:t>
            </w:r>
            <w:r>
              <w:rPr>
                <w:rFonts w:hint="eastAsia" w:ascii="宋体" w:hAnsi="宋体" w:eastAsia="宋体" w:cs="宋体"/>
                <w:color w:val="000000"/>
                <w:kern w:val="0"/>
                <w:sz w:val="22"/>
                <w:szCs w:val="22"/>
                <w:vertAlign w:val="subscript"/>
              </w:rPr>
              <w:t>2</w:t>
            </w:r>
            <w:r>
              <w:rPr>
                <w:rFonts w:hint="eastAsia" w:ascii="宋体" w:hAnsi="宋体" w:eastAsia="宋体" w:cs="宋体"/>
                <w:color w:val="000000"/>
                <w:kern w:val="0"/>
                <w:sz w:val="22"/>
                <w:szCs w:val="22"/>
              </w:rPr>
              <w:t>O的灵敏度</w:t>
            </w:r>
            <w:r>
              <w:rPr>
                <w:rFonts w:hint="eastAsia" w:ascii="仿宋" w:hAnsi="仿宋" w:eastAsia="仿宋" w:cs="仿宋"/>
                <w:i w:val="0"/>
                <w:iCs w:val="0"/>
                <w:color w:val="0000FF"/>
                <w:kern w:val="0"/>
                <w:sz w:val="24"/>
                <w:szCs w:val="24"/>
                <w:u w:val="none"/>
                <w:lang w:val="en-US" w:eastAsia="zh-CN" w:bidi="ar"/>
              </w:rPr>
              <w:t>≤</w:t>
            </w:r>
            <w:r>
              <w:rPr>
                <w:rFonts w:hint="eastAsia" w:ascii="宋体" w:hAnsi="宋体" w:eastAsia="宋体" w:cs="宋体"/>
                <w:color w:val="0000FF"/>
                <w:kern w:val="0"/>
                <w:sz w:val="22"/>
                <w:szCs w:val="22"/>
              </w:rPr>
              <w:t>0.1</w:t>
            </w:r>
            <w:r>
              <w:rPr>
                <w:rFonts w:hint="eastAsia" w:ascii="宋体" w:hAnsi="宋体" w:eastAsia="宋体" w:cs="宋体"/>
                <w:color w:val="000000"/>
                <w:kern w:val="0"/>
                <w:sz w:val="22"/>
                <w:szCs w:val="22"/>
              </w:rPr>
              <w:t>μmol mol</w:t>
            </w:r>
            <w:r>
              <w:rPr>
                <w:rFonts w:hint="eastAsia" w:ascii="宋体" w:hAnsi="宋体" w:eastAsia="宋体" w:cs="宋体"/>
                <w:color w:val="000000"/>
                <w:kern w:val="0"/>
                <w:sz w:val="22"/>
                <w:szCs w:val="22"/>
                <w:vertAlign w:val="superscript"/>
              </w:rPr>
              <w:t>-1</w:t>
            </w:r>
            <w:r>
              <w:rPr>
                <w:rFonts w:hint="eastAsia" w:ascii="宋体" w:hAnsi="宋体" w:eastAsia="宋体" w:cs="宋体"/>
                <w:color w:val="000000"/>
                <w:kern w:val="0"/>
                <w:sz w:val="22"/>
                <w:szCs w:val="22"/>
              </w:rPr>
              <w:t>CO</w:t>
            </w:r>
            <w:r>
              <w:rPr>
                <w:rFonts w:hint="eastAsia" w:ascii="宋体" w:hAnsi="宋体" w:eastAsia="宋体" w:cs="宋体"/>
                <w:color w:val="000000"/>
                <w:kern w:val="0"/>
                <w:sz w:val="22"/>
                <w:szCs w:val="22"/>
                <w:vertAlign w:val="subscript"/>
              </w:rPr>
              <w:t>2</w:t>
            </w:r>
            <w:r>
              <w:rPr>
                <w:rFonts w:hint="eastAsia" w:ascii="宋体" w:hAnsi="宋体" w:eastAsia="宋体" w:cs="宋体"/>
                <w:color w:val="000000"/>
                <w:kern w:val="0"/>
                <w:sz w:val="22"/>
                <w:szCs w:val="22"/>
              </w:rPr>
              <w:t>/mmol mol</w:t>
            </w:r>
            <w:r>
              <w:rPr>
                <w:rFonts w:hint="eastAsia" w:ascii="宋体" w:hAnsi="宋体" w:eastAsia="宋体" w:cs="宋体"/>
                <w:color w:val="000000"/>
                <w:kern w:val="0"/>
                <w:sz w:val="22"/>
                <w:szCs w:val="22"/>
                <w:vertAlign w:val="superscript"/>
              </w:rPr>
              <w:t>-1</w:t>
            </w:r>
            <w:r>
              <w:rPr>
                <w:rFonts w:hint="eastAsia" w:ascii="宋体" w:hAnsi="宋体" w:eastAsia="宋体" w:cs="宋体"/>
                <w:color w:val="000000"/>
                <w:kern w:val="0"/>
                <w:sz w:val="22"/>
                <w:szCs w:val="22"/>
              </w:rPr>
              <w:t xml:space="preserve"> H</w:t>
            </w:r>
            <w:r>
              <w:rPr>
                <w:rFonts w:hint="eastAsia" w:ascii="宋体" w:hAnsi="宋体" w:eastAsia="宋体" w:cs="宋体"/>
                <w:color w:val="000000"/>
                <w:kern w:val="0"/>
                <w:sz w:val="22"/>
                <w:szCs w:val="22"/>
                <w:vertAlign w:val="subscript"/>
              </w:rPr>
              <w:t>2</w:t>
            </w:r>
            <w:r>
              <w:rPr>
                <w:rFonts w:hint="eastAsia" w:ascii="宋体" w:hAnsi="宋体" w:eastAsia="宋体" w:cs="宋体"/>
                <w:color w:val="000000"/>
                <w:kern w:val="0"/>
                <w:sz w:val="22"/>
                <w:szCs w:val="22"/>
              </w:rPr>
              <w:t>O</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注：以上参数需要提供产品彩页，盖制造商公章或代理商公章，提供一项得2分，共8分，不提供不得分。</w:t>
            </w:r>
          </w:p>
        </w:tc>
      </w:tr>
      <w:tr w14:paraId="308D1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509" w:type="pct"/>
            <w:vMerge w:val="continue"/>
            <w:tcBorders>
              <w:left w:val="single" w:color="000000" w:sz="4" w:space="0"/>
              <w:right w:val="single" w:color="000000" w:sz="4" w:space="0"/>
            </w:tcBorders>
            <w:shd w:val="clear" w:color="auto" w:fill="auto"/>
            <w:vAlign w:val="center"/>
          </w:tcPr>
          <w:p w14:paraId="30B4C3E9">
            <w:pPr>
              <w:jc w:val="center"/>
              <w:rPr>
                <w:rFonts w:hint="eastAsia" w:ascii="仿宋" w:hAnsi="仿宋" w:eastAsia="仿宋" w:cs="仿宋"/>
                <w:i w:val="0"/>
                <w:iCs w:val="0"/>
                <w:color w:val="000000"/>
                <w:sz w:val="24"/>
                <w:szCs w:val="24"/>
                <w:u w:val="none"/>
              </w:rPr>
            </w:pPr>
          </w:p>
        </w:tc>
        <w:tc>
          <w:tcPr>
            <w:tcW w:w="684" w:type="pct"/>
            <w:vMerge w:val="continue"/>
            <w:tcBorders>
              <w:left w:val="single" w:color="000000" w:sz="4" w:space="0"/>
              <w:right w:val="single" w:color="000000" w:sz="4" w:space="0"/>
            </w:tcBorders>
            <w:shd w:val="clear" w:color="auto" w:fill="auto"/>
            <w:vAlign w:val="center"/>
          </w:tcPr>
          <w:p w14:paraId="66F9EEBF">
            <w:pPr>
              <w:jc w:val="center"/>
              <w:rPr>
                <w:rFonts w:hint="eastAsia" w:ascii="仿宋" w:hAnsi="仿宋" w:eastAsia="仿宋" w:cs="仿宋"/>
                <w:i w:val="0"/>
                <w:iCs w:val="0"/>
                <w:color w:val="000000"/>
                <w:sz w:val="24"/>
                <w:szCs w:val="24"/>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04D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植物光谱仪</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AA6E4">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4分</w:t>
            </w:r>
          </w:p>
        </w:tc>
        <w:tc>
          <w:tcPr>
            <w:tcW w:w="2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54A5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1、测量波段：380-780 nm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2、测量范围：70-150,000 lx （lux）</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0.5-1,000 W/m</w:t>
            </w:r>
            <w:r>
              <w:rPr>
                <w:rFonts w:hint="eastAsia" w:ascii="仿宋" w:hAnsi="仿宋" w:eastAsia="仿宋" w:cs="仿宋"/>
                <w:i w:val="0"/>
                <w:iCs w:val="0"/>
                <w:color w:val="000000"/>
                <w:kern w:val="0"/>
                <w:sz w:val="24"/>
                <w:szCs w:val="24"/>
                <w:u w:val="none"/>
                <w:vertAlign w:val="superscript"/>
                <w:lang w:val="en-US" w:eastAsia="zh-CN" w:bidi="ar"/>
              </w:rPr>
              <w:t>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1-3,000 µmol m</w:t>
            </w:r>
            <w:r>
              <w:rPr>
                <w:rFonts w:hint="eastAsia" w:ascii="仿宋" w:hAnsi="仿宋" w:eastAsia="仿宋" w:cs="仿宋"/>
                <w:i w:val="0"/>
                <w:iCs w:val="0"/>
                <w:color w:val="000000"/>
                <w:kern w:val="0"/>
                <w:sz w:val="24"/>
                <w:szCs w:val="24"/>
                <w:u w:val="none"/>
                <w:vertAlign w:val="superscript"/>
                <w:lang w:val="en-US" w:eastAsia="zh-CN" w:bidi="ar"/>
              </w:rPr>
              <w:t>-2</w:t>
            </w:r>
            <w:r>
              <w:rPr>
                <w:rFonts w:hint="eastAsia" w:ascii="仿宋" w:hAnsi="仿宋" w:eastAsia="仿宋" w:cs="仿宋"/>
                <w:i w:val="0"/>
                <w:iCs w:val="0"/>
                <w:color w:val="000000"/>
                <w:kern w:val="0"/>
                <w:sz w:val="24"/>
                <w:szCs w:val="24"/>
                <w:u w:val="none"/>
                <w:lang w:val="en-US" w:eastAsia="zh-CN" w:bidi="ar"/>
              </w:rPr>
              <w:t xml:space="preserve"> s</w:t>
            </w:r>
            <w:r>
              <w:rPr>
                <w:rFonts w:hint="eastAsia" w:ascii="仿宋" w:hAnsi="仿宋" w:eastAsia="仿宋" w:cs="仿宋"/>
                <w:i w:val="0"/>
                <w:iCs w:val="0"/>
                <w:color w:val="000000"/>
                <w:kern w:val="0"/>
                <w:sz w:val="24"/>
                <w:szCs w:val="24"/>
                <w:u w:val="none"/>
                <w:vertAlign w:val="superscript"/>
                <w:lang w:val="en-US" w:eastAsia="zh-CN" w:bidi="ar"/>
              </w:rPr>
              <w:t>-1</w:t>
            </w:r>
            <w:r>
              <w:rPr>
                <w:rFonts w:hint="eastAsia" w:ascii="仿宋" w:hAnsi="仿宋" w:eastAsia="仿宋" w:cs="仿宋"/>
                <w:i w:val="0"/>
                <w:iCs w:val="0"/>
                <w:color w:val="000000"/>
                <w:kern w:val="0"/>
                <w:sz w:val="24"/>
                <w:szCs w:val="24"/>
                <w:u w:val="none"/>
                <w:lang w:val="en-US" w:eastAsia="zh-CN" w:bidi="ar"/>
              </w:rPr>
              <w:t>（PPFD）</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注：以上参数需要提供产品彩页，盖制造商公章或代理商公章，提供一项得2分，共4分，不提供不得分。</w:t>
            </w:r>
          </w:p>
        </w:tc>
      </w:tr>
      <w:tr w14:paraId="067E3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trPr>
        <w:tc>
          <w:tcPr>
            <w:tcW w:w="509" w:type="pct"/>
            <w:vMerge w:val="continue"/>
            <w:tcBorders>
              <w:left w:val="single" w:color="000000" w:sz="4" w:space="0"/>
              <w:right w:val="single" w:color="000000" w:sz="4" w:space="0"/>
            </w:tcBorders>
            <w:shd w:val="clear" w:color="auto" w:fill="auto"/>
            <w:vAlign w:val="center"/>
          </w:tcPr>
          <w:p w14:paraId="6B312C22">
            <w:pPr>
              <w:jc w:val="center"/>
              <w:rPr>
                <w:rFonts w:hint="eastAsia" w:ascii="仿宋" w:hAnsi="仿宋" w:eastAsia="仿宋" w:cs="仿宋"/>
                <w:i w:val="0"/>
                <w:iCs w:val="0"/>
                <w:color w:val="000000"/>
                <w:sz w:val="24"/>
                <w:szCs w:val="24"/>
                <w:u w:val="none"/>
              </w:rPr>
            </w:pPr>
          </w:p>
        </w:tc>
        <w:tc>
          <w:tcPr>
            <w:tcW w:w="684" w:type="pct"/>
            <w:vMerge w:val="continue"/>
            <w:tcBorders>
              <w:left w:val="single" w:color="000000" w:sz="4" w:space="0"/>
              <w:right w:val="single" w:color="000000" w:sz="4" w:space="0"/>
            </w:tcBorders>
            <w:shd w:val="clear" w:color="auto" w:fill="auto"/>
            <w:vAlign w:val="center"/>
          </w:tcPr>
          <w:p w14:paraId="038967CE">
            <w:pPr>
              <w:jc w:val="center"/>
              <w:rPr>
                <w:rFonts w:hint="eastAsia" w:ascii="仿宋" w:hAnsi="仿宋" w:eastAsia="仿宋" w:cs="仿宋"/>
                <w:i w:val="0"/>
                <w:iCs w:val="0"/>
                <w:color w:val="000000"/>
                <w:sz w:val="24"/>
                <w:szCs w:val="24"/>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5E2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植物冠层分析仪</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447B3">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6分</w:t>
            </w:r>
          </w:p>
        </w:tc>
        <w:tc>
          <w:tcPr>
            <w:tcW w:w="2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2F77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1、GPS：水平位置准确度：2.5米CEP (50% 圆概率误差，室外开阔环境24hr统计结果)，最大位置更新速率：1Hz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2、辐射阻隔率：在490-650 nm之间的辐射&gt;99%被阻隔，大于650nm的辐射&gt;99.9%被阻隔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3、感应波长范围：320-490 nm.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注：以上参数需要提供产品彩页，盖制造商公章或代理商公章，提供一项得2分，共6分，不提供不得分。</w:t>
            </w:r>
          </w:p>
        </w:tc>
      </w:tr>
      <w:tr w14:paraId="1408B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ins w:id="19" w:author="[嘿哈]" w:date="2025-06-25T12:24:38Z"/>
        </w:trPr>
        <w:tc>
          <w:tcPr>
            <w:tcW w:w="509" w:type="pct"/>
            <w:vMerge w:val="continue"/>
            <w:tcBorders>
              <w:left w:val="single" w:color="000000" w:sz="4" w:space="0"/>
              <w:right w:val="single" w:color="000000" w:sz="4" w:space="0"/>
            </w:tcBorders>
            <w:shd w:val="clear" w:color="auto" w:fill="auto"/>
            <w:vAlign w:val="center"/>
          </w:tcPr>
          <w:p w14:paraId="4045E9A4">
            <w:pPr>
              <w:jc w:val="center"/>
              <w:rPr>
                <w:ins w:id="20" w:author="[嘿哈]" w:date="2025-06-25T12:24:38Z"/>
                <w:rFonts w:hint="eastAsia" w:ascii="仿宋" w:hAnsi="仿宋" w:eastAsia="仿宋" w:cs="仿宋"/>
                <w:i w:val="0"/>
                <w:iCs w:val="0"/>
                <w:color w:val="000000"/>
                <w:sz w:val="24"/>
                <w:szCs w:val="24"/>
                <w:u w:val="none"/>
              </w:rPr>
            </w:pPr>
          </w:p>
        </w:tc>
        <w:tc>
          <w:tcPr>
            <w:tcW w:w="684" w:type="pct"/>
            <w:vMerge w:val="continue"/>
            <w:tcBorders>
              <w:left w:val="single" w:color="000000" w:sz="4" w:space="0"/>
              <w:right w:val="single" w:color="000000" w:sz="4" w:space="0"/>
            </w:tcBorders>
            <w:shd w:val="clear" w:color="auto" w:fill="auto"/>
            <w:vAlign w:val="center"/>
          </w:tcPr>
          <w:p w14:paraId="3567F952">
            <w:pPr>
              <w:jc w:val="center"/>
              <w:rPr>
                <w:ins w:id="21" w:author="[嘿哈]" w:date="2025-06-25T12:24:38Z"/>
                <w:rFonts w:hint="eastAsia" w:ascii="仿宋" w:hAnsi="仿宋" w:eastAsia="仿宋" w:cs="仿宋"/>
                <w:i w:val="0"/>
                <w:iCs w:val="0"/>
                <w:color w:val="000000"/>
                <w:sz w:val="24"/>
                <w:szCs w:val="24"/>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D57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土壤碳氧氨同位素分析仪</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FE37F">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2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AAF16">
            <w:pPr>
              <w:keepNext w:val="0"/>
              <w:keepLines w:val="0"/>
              <w:widowControl/>
              <w:numPr>
                <w:ilvl w:val="0"/>
                <w:numId w:val="0"/>
              </w:numPr>
              <w:suppressLineNumbers w:val="0"/>
              <w:jc w:val="left"/>
              <w:textAlignment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lang w:val="en-US" w:eastAsia="zh-CN" w:bidi="ar-SA"/>
                <w14:textFill>
                  <w14:solidFill>
                    <w14:schemeClr w14:val="tx1"/>
                  </w14:solidFill>
                </w14:textFill>
              </w:rPr>
              <w:t>1、</w:t>
            </w:r>
            <w:r>
              <w:rPr>
                <w:rFonts w:hint="eastAsia" w:ascii="宋体" w:hAnsi="宋体" w:eastAsia="宋体" w:cs="宋体"/>
                <w:color w:val="000000"/>
                <w:kern w:val="0"/>
                <w:sz w:val="22"/>
                <w:szCs w:val="22"/>
              </w:rPr>
              <w:t>操作</w:t>
            </w:r>
            <w:r>
              <w:rPr>
                <w:rFonts w:hint="eastAsia" w:ascii="宋体" w:hAnsi="宋体" w:eastAsia="宋体" w:cs="宋体"/>
                <w:color w:val="000000" w:themeColor="text1"/>
                <w:kern w:val="0"/>
                <w:sz w:val="22"/>
                <w:szCs w:val="22"/>
                <w14:textFill>
                  <w14:solidFill>
                    <w14:schemeClr w14:val="tx1"/>
                  </w14:solidFill>
                </w14:textFill>
              </w:rPr>
              <w:t>温度:</w:t>
            </w:r>
            <w:r>
              <w:rPr>
                <w:rFonts w:hint="eastAsia" w:ascii="宋体" w:hAnsi="宋体" w:eastAsia="宋体" w:cs="宋体"/>
                <w:color w:val="0000FF"/>
                <w:kern w:val="0"/>
                <w:sz w:val="22"/>
                <w:szCs w:val="22"/>
              </w:rPr>
              <w:t>≥</w:t>
            </w:r>
            <w:r>
              <w:rPr>
                <w:rFonts w:hint="eastAsia" w:ascii="宋体" w:hAnsi="宋体" w:eastAsia="宋体" w:cs="宋体"/>
                <w:color w:val="000000" w:themeColor="text1"/>
                <w:kern w:val="0"/>
                <w:sz w:val="22"/>
                <w:szCs w:val="22"/>
                <w14:textFill>
                  <w14:solidFill>
                    <w14:schemeClr w14:val="tx1"/>
                  </w14:solidFill>
                </w14:textFill>
              </w:rPr>
              <w:t xml:space="preserve">-20℃ </w:t>
            </w:r>
            <w:r>
              <w:rPr>
                <w:rFonts w:hint="eastAsia" w:ascii="宋体" w:hAnsi="宋体" w:cs="宋体"/>
                <w:color w:val="000000" w:themeColor="text1"/>
                <w:kern w:val="0"/>
                <w:sz w:val="22"/>
                <w:szCs w:val="22"/>
                <w:lang w:eastAsia="zh-CN"/>
                <w14:textFill>
                  <w14:solidFill>
                    <w14:schemeClr w14:val="tx1"/>
                  </w14:solidFill>
                </w14:textFill>
              </w:rPr>
              <w:t>～</w:t>
            </w:r>
            <w:r>
              <w:rPr>
                <w:rFonts w:hint="eastAsia" w:ascii="宋体" w:hAnsi="宋体" w:eastAsia="宋体" w:cs="宋体"/>
                <w:color w:val="000000" w:themeColor="text1"/>
                <w:kern w:val="0"/>
                <w:sz w:val="22"/>
                <w:szCs w:val="22"/>
                <w14:textFill>
                  <w14:solidFill>
                    <w14:schemeClr w14:val="tx1"/>
                  </w14:solidFill>
                </w14:textFill>
              </w:rPr>
              <w:t xml:space="preserve"> 45 ℃</w:t>
            </w:r>
          </w:p>
          <w:p w14:paraId="677E4FA9">
            <w:pPr>
              <w:keepNext w:val="0"/>
              <w:keepLines w:val="0"/>
              <w:widowControl/>
              <w:suppressLineNumbers w:val="0"/>
              <w:jc w:val="left"/>
              <w:rPr>
                <w:color w:val="000000" w:themeColor="text1"/>
                <w14:textFill>
                  <w14:solidFill>
                    <w14:schemeClr w14:val="tx1"/>
                  </w14:solidFill>
                </w14:textFill>
              </w:rPr>
            </w:pPr>
            <w:r>
              <w:rPr>
                <w:rFonts w:hint="eastAsia" w:ascii="Times New Roman" w:hAnsi="Times New Roman" w:eastAsia="宋体" w:cs="Times New Roman"/>
                <w:kern w:val="0"/>
                <w:szCs w:val="20"/>
                <w:lang w:val="en-US" w:eastAsia="zh-CN" w:bidi="ar-SA"/>
              </w:rPr>
              <w:t>2、</w:t>
            </w:r>
            <w:r>
              <w:rPr>
                <w:rFonts w:hint="eastAsia" w:ascii="宋体" w:hAnsi="宋体" w:eastAsia="宋体" w:cs="宋体"/>
                <w:color w:val="000000"/>
                <w:kern w:val="0"/>
                <w:sz w:val="22"/>
                <w:szCs w:val="22"/>
              </w:rPr>
              <w:t>δC</w:t>
            </w:r>
            <w:r>
              <w:rPr>
                <w:rFonts w:hint="eastAsia" w:ascii="宋体" w:hAnsi="宋体" w:eastAsia="宋体" w:cs="宋体"/>
                <w:color w:val="000000"/>
                <w:kern w:val="0"/>
                <w:sz w:val="22"/>
                <w:szCs w:val="22"/>
                <w:vertAlign w:val="superscript"/>
              </w:rPr>
              <w:t>13</w:t>
            </w:r>
            <w:r>
              <w:rPr>
                <w:rFonts w:hint="eastAsia" w:ascii="宋体" w:hAnsi="宋体" w:eastAsia="宋体" w:cs="宋体"/>
                <w:color w:val="000000" w:themeColor="text1"/>
                <w:kern w:val="0"/>
                <w:sz w:val="22"/>
                <w:szCs w:val="22"/>
                <w14:textFill>
                  <w14:solidFill>
                    <w14:schemeClr w14:val="tx1"/>
                  </w14:solidFill>
                </w14:textFill>
              </w:rPr>
              <w:t>测量精度(1σ)：1秒信号平均为</w:t>
            </w:r>
            <w:r>
              <w:rPr>
                <w:rFonts w:hint="eastAsia" w:ascii="仿宋" w:hAnsi="仿宋" w:eastAsia="仿宋" w:cs="仿宋"/>
                <w:i w:val="0"/>
                <w:iCs w:val="0"/>
                <w:color w:val="0000FF"/>
                <w:kern w:val="0"/>
                <w:sz w:val="24"/>
                <w:szCs w:val="24"/>
                <w:u w:val="none"/>
                <w:lang w:val="en-US" w:eastAsia="zh-CN" w:bidi="ar"/>
              </w:rPr>
              <w:t>≤</w:t>
            </w:r>
          </w:p>
          <w:p w14:paraId="5DEB0200">
            <w:pPr>
              <w:pStyle w:val="2"/>
              <w:numPr>
                <w:ilvl w:val="0"/>
                <w:numId w:val="0"/>
              </w:numPr>
              <w:rPr>
                <w:rFonts w:hint="eastAsia"/>
                <w:lang w:val="en-US" w:eastAsia="zh-CN"/>
              </w:rPr>
            </w:pPr>
            <w:r>
              <w:rPr>
                <w:rFonts w:hint="eastAsia" w:ascii="宋体" w:hAnsi="宋体" w:eastAsia="宋体" w:cs="宋体"/>
                <w:color w:val="000000" w:themeColor="text1"/>
                <w:kern w:val="0"/>
                <w:sz w:val="22"/>
                <w:szCs w:val="22"/>
                <w14:textFill>
                  <w14:solidFill>
                    <w14:schemeClr w14:val="tx1"/>
                  </w14:solidFill>
                </w14:textFill>
              </w:rPr>
              <w:t>0.5 ‰；5分钟信号平均为</w:t>
            </w:r>
            <w:r>
              <w:rPr>
                <w:rFonts w:hint="eastAsia" w:ascii="仿宋" w:hAnsi="仿宋" w:eastAsia="仿宋" w:cs="仿宋"/>
                <w:i w:val="0"/>
                <w:iCs w:val="0"/>
                <w:color w:val="0000FF"/>
                <w:kern w:val="0"/>
                <w:sz w:val="24"/>
                <w:szCs w:val="24"/>
                <w:u w:val="none"/>
                <w:lang w:val="en-US" w:eastAsia="zh-CN" w:bidi="ar"/>
              </w:rPr>
              <w:t>≤</w:t>
            </w:r>
            <w:r>
              <w:rPr>
                <w:rFonts w:hint="eastAsia" w:ascii="宋体" w:hAnsi="宋体" w:eastAsia="宋体" w:cs="宋体"/>
                <w:color w:val="000000" w:themeColor="text1"/>
                <w:kern w:val="0"/>
                <w:sz w:val="22"/>
                <w:szCs w:val="22"/>
                <w14:textFill>
                  <w14:solidFill>
                    <w14:schemeClr w14:val="tx1"/>
                  </w14:solidFill>
                </w14:textFill>
              </w:rPr>
              <w:t>0.04 ‰</w:t>
            </w:r>
          </w:p>
          <w:p w14:paraId="1A37D630">
            <w:pPr>
              <w:pStyle w:val="2"/>
              <w:numPr>
                <w:ilvl w:val="-1"/>
                <w:numId w:val="0"/>
              </w:numPr>
              <w:rPr>
                <w:rFonts w:hint="eastAsia" w:ascii="宋体" w:hAnsi="宋体" w:eastAsia="宋体" w:cs="宋体"/>
                <w:color w:val="000000" w:themeColor="text1"/>
                <w:kern w:val="0"/>
                <w:sz w:val="22"/>
                <w:szCs w:val="22"/>
                <w14:textFill>
                  <w14:solidFill>
                    <w14:schemeClr w14:val="tx1"/>
                  </w14:solidFill>
                </w14:textFill>
              </w:rPr>
            </w:pPr>
            <w:r>
              <w:rPr>
                <w:rFonts w:hint="eastAsia"/>
                <w:lang w:val="en-US" w:eastAsia="zh-CN"/>
              </w:rPr>
              <w:t>3、</w:t>
            </w:r>
            <w:r>
              <w:rPr>
                <w:rFonts w:hint="eastAsia" w:ascii="宋体" w:hAnsi="宋体" w:eastAsia="宋体" w:cs="宋体"/>
                <w:color w:val="000000"/>
                <w:kern w:val="0"/>
                <w:sz w:val="22"/>
                <w:szCs w:val="22"/>
              </w:rPr>
              <w:t>δO</w:t>
            </w:r>
            <w:r>
              <w:rPr>
                <w:rFonts w:hint="eastAsia" w:ascii="宋体" w:hAnsi="宋体" w:eastAsia="宋体" w:cs="宋体"/>
                <w:color w:val="000000"/>
                <w:kern w:val="0"/>
                <w:sz w:val="22"/>
                <w:szCs w:val="22"/>
                <w:vertAlign w:val="superscript"/>
              </w:rPr>
              <w:t>18</w:t>
            </w:r>
            <w:r>
              <w:rPr>
                <w:rFonts w:hint="eastAsia" w:ascii="宋体" w:hAnsi="宋体" w:eastAsia="宋体" w:cs="宋体"/>
                <w:color w:val="000000"/>
                <w:kern w:val="0"/>
                <w:sz w:val="22"/>
                <w:szCs w:val="22"/>
              </w:rPr>
              <w:t xml:space="preserve"> 测</w:t>
            </w:r>
            <w:r>
              <w:rPr>
                <w:rFonts w:hint="eastAsia" w:ascii="宋体" w:hAnsi="宋体" w:eastAsia="宋体" w:cs="宋体"/>
                <w:color w:val="000000" w:themeColor="text1"/>
                <w:kern w:val="0"/>
                <w:sz w:val="22"/>
                <w:szCs w:val="22"/>
                <w14:textFill>
                  <w14:solidFill>
                    <w14:schemeClr w14:val="tx1"/>
                  </w14:solidFill>
                </w14:textFill>
              </w:rPr>
              <w:t>量精度(1σ)：5分钟信号平均为</w:t>
            </w:r>
            <w:r>
              <w:rPr>
                <w:rFonts w:hint="eastAsia" w:ascii="仿宋" w:hAnsi="仿宋" w:eastAsia="仿宋" w:cs="仿宋"/>
                <w:i w:val="0"/>
                <w:iCs w:val="0"/>
                <w:color w:val="0000FF"/>
                <w:kern w:val="0"/>
                <w:sz w:val="24"/>
                <w:szCs w:val="24"/>
                <w:u w:val="none"/>
                <w:lang w:val="en-US" w:eastAsia="zh-CN" w:bidi="ar"/>
              </w:rPr>
              <w:t>≤</w:t>
            </w:r>
            <w:r>
              <w:rPr>
                <w:rFonts w:hint="eastAsia" w:ascii="宋体" w:hAnsi="宋体" w:eastAsia="宋体" w:cs="宋体"/>
                <w:color w:val="000000" w:themeColor="text1"/>
                <w:kern w:val="0"/>
                <w:sz w:val="22"/>
                <w:szCs w:val="22"/>
                <w14:textFill>
                  <w14:solidFill>
                    <w14:schemeClr w14:val="tx1"/>
                  </w14:solidFill>
                </w14:textFill>
              </w:rPr>
              <w:t xml:space="preserve"> 0.1 ‰@400 ppm</w:t>
            </w:r>
          </w:p>
          <w:p w14:paraId="17B01FB3">
            <w:pPr>
              <w:pStyle w:val="2"/>
              <w:numPr>
                <w:ilvl w:val="-1"/>
                <w:numId w:val="0"/>
              </w:numP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4、</w:t>
            </w:r>
            <w:r>
              <w:rPr>
                <w:rFonts w:hint="eastAsia" w:ascii="宋体" w:hAnsi="宋体" w:eastAsia="宋体" w:cs="宋体"/>
                <w:color w:val="000000" w:themeColor="text1"/>
                <w:kern w:val="0"/>
                <w:sz w:val="22"/>
                <w:szCs w:val="22"/>
                <w14:textFill>
                  <w14:solidFill>
                    <w14:schemeClr w14:val="tx1"/>
                  </w14:solidFill>
                </w14:textFill>
              </w:rPr>
              <w:t>δO</w:t>
            </w:r>
            <w:r>
              <w:rPr>
                <w:rFonts w:hint="eastAsia" w:ascii="宋体" w:hAnsi="宋体" w:eastAsia="宋体" w:cs="宋体"/>
                <w:color w:val="000000" w:themeColor="text1"/>
                <w:kern w:val="0"/>
                <w:sz w:val="22"/>
                <w:szCs w:val="22"/>
                <w:vertAlign w:val="superscript"/>
                <w14:textFill>
                  <w14:solidFill>
                    <w14:schemeClr w14:val="tx1"/>
                  </w14:solidFill>
                </w14:textFill>
              </w:rPr>
              <w:t>17</w:t>
            </w:r>
            <w:r>
              <w:rPr>
                <w:rFonts w:hint="eastAsia" w:ascii="宋体" w:hAnsi="宋体" w:eastAsia="宋体" w:cs="宋体"/>
                <w:color w:val="000000" w:themeColor="text1"/>
                <w:kern w:val="0"/>
                <w:sz w:val="22"/>
                <w:szCs w:val="22"/>
                <w14:textFill>
                  <w14:solidFill>
                    <w14:schemeClr w14:val="tx1"/>
                  </w14:solidFill>
                </w14:textFill>
              </w:rPr>
              <w:t xml:space="preserve"> 测量精度(1σ)：5分钟信号平均为 </w:t>
            </w:r>
            <w:r>
              <w:rPr>
                <w:rFonts w:hint="eastAsia" w:ascii="仿宋" w:hAnsi="仿宋" w:eastAsia="仿宋" w:cs="仿宋"/>
                <w:i w:val="0"/>
                <w:iCs w:val="0"/>
                <w:color w:val="0000FF"/>
                <w:kern w:val="0"/>
                <w:sz w:val="24"/>
                <w:szCs w:val="24"/>
                <w:u w:val="none"/>
                <w:lang w:val="en-US" w:eastAsia="zh-CN" w:bidi="ar"/>
              </w:rPr>
              <w:t>≤</w:t>
            </w:r>
            <w:r>
              <w:rPr>
                <w:rFonts w:hint="eastAsia" w:ascii="宋体" w:hAnsi="宋体" w:eastAsia="宋体" w:cs="宋体"/>
                <w:color w:val="000000" w:themeColor="text1"/>
                <w:kern w:val="0"/>
                <w:sz w:val="22"/>
                <w:szCs w:val="22"/>
                <w14:textFill>
                  <w14:solidFill>
                    <w14:schemeClr w14:val="tx1"/>
                  </w14:solidFill>
                </w14:textFill>
              </w:rPr>
              <w:t>0.4 ‰@400 ppm</w:t>
            </w:r>
          </w:p>
          <w:p w14:paraId="2CA83BE0">
            <w:pPr>
              <w:keepNext w:val="0"/>
              <w:keepLines w:val="0"/>
              <w:widowControl/>
              <w:suppressLineNumbers w:val="0"/>
              <w:jc w:val="left"/>
            </w:pPr>
            <w:r>
              <w:rPr>
                <w:rFonts w:hint="eastAsia" w:ascii="宋体" w:hAnsi="宋体" w:eastAsia="宋体" w:cs="宋体"/>
                <w:color w:val="000000"/>
                <w:kern w:val="0"/>
                <w:sz w:val="22"/>
                <w:szCs w:val="22"/>
                <w:lang w:val="en-US" w:eastAsia="zh-CN"/>
              </w:rPr>
              <w:t>5、</w:t>
            </w:r>
            <w:r>
              <w:rPr>
                <w:rFonts w:hint="eastAsia" w:ascii="宋体" w:hAnsi="宋体" w:eastAsia="宋体" w:cs="宋体"/>
                <w:color w:val="000000"/>
                <w:kern w:val="0"/>
                <w:sz w:val="22"/>
                <w:szCs w:val="22"/>
              </w:rPr>
              <w:t>NH</w:t>
            </w:r>
            <w:r>
              <w:rPr>
                <w:rFonts w:hint="eastAsia" w:ascii="宋体" w:hAnsi="宋体" w:eastAsia="宋体" w:cs="宋体"/>
                <w:color w:val="000000"/>
                <w:kern w:val="0"/>
                <w:sz w:val="22"/>
                <w:szCs w:val="22"/>
                <w:vertAlign w:val="subscript"/>
              </w:rPr>
              <w:t>3</w:t>
            </w:r>
            <w:r>
              <w:rPr>
                <w:rFonts w:hint="eastAsia" w:ascii="宋体" w:hAnsi="宋体" w:eastAsia="宋体" w:cs="宋体"/>
                <w:color w:val="000000"/>
                <w:kern w:val="0"/>
                <w:sz w:val="22"/>
                <w:szCs w:val="22"/>
              </w:rPr>
              <w:t xml:space="preserve"> 测量精度(1σ)：1秒信号平均为</w:t>
            </w:r>
          </w:p>
          <w:p w14:paraId="1A65A341">
            <w:pPr>
              <w:pStyle w:val="2"/>
              <w:numPr>
                <w:ilvl w:val="-1"/>
                <w:numId w:val="0"/>
              </w:numPr>
              <w:rPr>
                <w:rFonts w:hint="eastAsia" w:ascii="宋体" w:hAnsi="宋体" w:eastAsia="宋体" w:cs="宋体"/>
                <w:color w:val="000000"/>
                <w:kern w:val="0"/>
                <w:sz w:val="22"/>
                <w:szCs w:val="22"/>
              </w:rPr>
            </w:pPr>
            <w:r>
              <w:rPr>
                <w:rFonts w:hint="eastAsia" w:ascii="宋体" w:hAnsi="宋体" w:eastAsia="宋体" w:cs="宋体"/>
                <w:color w:val="000000" w:themeColor="text1"/>
                <w:kern w:val="0"/>
                <w:sz w:val="22"/>
                <w:szCs w:val="22"/>
                <w14:textFill>
                  <w14:solidFill>
                    <w14:schemeClr w14:val="tx1"/>
                  </w14:solidFill>
                </w14:textFill>
              </w:rPr>
              <w:t>2 ppb @ 30</w:t>
            </w:r>
            <w:r>
              <w:rPr>
                <w:rFonts w:hint="eastAsia" w:ascii="宋体" w:hAnsi="宋体" w:eastAsia="宋体" w:cs="宋体"/>
                <w:color w:val="000000"/>
                <w:kern w:val="0"/>
                <w:sz w:val="22"/>
                <w:szCs w:val="22"/>
              </w:rPr>
              <w:t>0 ppb</w:t>
            </w:r>
          </w:p>
          <w:p w14:paraId="60022DB4">
            <w:pPr>
              <w:pStyle w:val="2"/>
              <w:numPr>
                <w:ilvl w:val="-1"/>
                <w:numId w:val="0"/>
              </w:numPr>
              <w:rPr>
                <w:rFonts w:hint="default" w:ascii="宋体" w:hAnsi="宋体" w:eastAsia="宋体" w:cs="宋体"/>
                <w:color w:val="000000"/>
                <w:kern w:val="0"/>
                <w:sz w:val="22"/>
                <w:szCs w:val="22"/>
                <w:lang w:val="en-US" w:eastAsia="zh-CN"/>
              </w:rPr>
            </w:pPr>
            <w:r>
              <w:rPr>
                <w:rFonts w:hint="eastAsia" w:ascii="仿宋" w:hAnsi="仿宋" w:eastAsia="仿宋" w:cs="仿宋"/>
                <w:i w:val="0"/>
                <w:iCs w:val="0"/>
                <w:color w:val="000000"/>
                <w:kern w:val="0"/>
                <w:sz w:val="24"/>
                <w:szCs w:val="24"/>
                <w:u w:val="none"/>
                <w:lang w:val="en-US" w:eastAsia="zh-CN" w:bidi="ar"/>
              </w:rPr>
              <w:t>注：以上参数需要提供产品彩页，盖制造商公章或代理商公章，提供一项得1分，共5分，不提供不得分。</w:t>
            </w:r>
          </w:p>
        </w:tc>
      </w:tr>
      <w:tr w14:paraId="16F1A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trPr>
        <w:tc>
          <w:tcPr>
            <w:tcW w:w="509" w:type="pct"/>
            <w:vMerge w:val="continue"/>
            <w:tcBorders>
              <w:left w:val="single" w:color="000000" w:sz="4" w:space="0"/>
              <w:right w:val="single" w:color="000000" w:sz="4" w:space="0"/>
            </w:tcBorders>
            <w:shd w:val="clear" w:color="auto" w:fill="auto"/>
            <w:vAlign w:val="center"/>
          </w:tcPr>
          <w:p w14:paraId="64AD9891">
            <w:pPr>
              <w:jc w:val="center"/>
              <w:rPr>
                <w:rFonts w:hint="eastAsia" w:ascii="仿宋" w:hAnsi="仿宋" w:eastAsia="仿宋" w:cs="仿宋"/>
                <w:i w:val="0"/>
                <w:iCs w:val="0"/>
                <w:color w:val="000000"/>
                <w:sz w:val="24"/>
                <w:szCs w:val="24"/>
                <w:u w:val="none"/>
              </w:rPr>
            </w:pPr>
          </w:p>
        </w:tc>
        <w:tc>
          <w:tcPr>
            <w:tcW w:w="684" w:type="pct"/>
            <w:vMerge w:val="continue"/>
            <w:tcBorders>
              <w:left w:val="single" w:color="000000" w:sz="4" w:space="0"/>
              <w:right w:val="single" w:color="000000" w:sz="4" w:space="0"/>
            </w:tcBorders>
            <w:shd w:val="clear" w:color="auto" w:fill="auto"/>
            <w:vAlign w:val="center"/>
          </w:tcPr>
          <w:p w14:paraId="717D5C73">
            <w:pPr>
              <w:jc w:val="center"/>
              <w:rPr>
                <w:rFonts w:hint="eastAsia" w:ascii="仿宋" w:hAnsi="仿宋" w:eastAsia="仿宋" w:cs="仿宋"/>
                <w:i w:val="0"/>
                <w:iCs w:val="0"/>
                <w:color w:val="000000"/>
                <w:sz w:val="24"/>
                <w:szCs w:val="24"/>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6D5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项目供货方案</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3B184">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10分</w:t>
            </w:r>
          </w:p>
        </w:tc>
        <w:tc>
          <w:tcPr>
            <w:tcW w:w="2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92003">
            <w:pPr>
              <w:widowControl/>
              <w:rPr>
                <w:rFonts w:hint="eastAsia" w:ascii="仿宋" w:hAnsi="仿宋" w:eastAsia="仿宋" w:cs="仿宋"/>
                <w:sz w:val="24"/>
                <w:szCs w:val="24"/>
              </w:rPr>
            </w:pPr>
            <w:r>
              <w:rPr>
                <w:rFonts w:hint="eastAsia" w:ascii="仿宋" w:hAnsi="仿宋" w:eastAsia="仿宋" w:cs="仿宋"/>
                <w:sz w:val="24"/>
                <w:szCs w:val="24"/>
              </w:rPr>
              <w:t>针对本项目提供供货方案包含但不限于：</w:t>
            </w:r>
          </w:p>
          <w:p w14:paraId="32B66296">
            <w:pPr>
              <w:widowControl/>
              <w:rPr>
                <w:rFonts w:hint="eastAsia" w:ascii="仿宋" w:hAnsi="仿宋" w:eastAsia="仿宋" w:cs="仿宋"/>
                <w:sz w:val="24"/>
                <w:szCs w:val="24"/>
              </w:rPr>
            </w:pPr>
            <w:r>
              <w:rPr>
                <w:rFonts w:hint="eastAsia" w:ascii="仿宋" w:hAnsi="仿宋" w:eastAsia="仿宋" w:cs="仿宋"/>
                <w:sz w:val="24"/>
                <w:szCs w:val="24"/>
              </w:rPr>
              <w:t>1.货物（产品）保障</w:t>
            </w:r>
          </w:p>
          <w:p w14:paraId="724523AE">
            <w:pPr>
              <w:widowControl/>
              <w:rPr>
                <w:rFonts w:hint="eastAsia" w:ascii="仿宋" w:hAnsi="仿宋" w:eastAsia="仿宋" w:cs="仿宋"/>
                <w:sz w:val="24"/>
                <w:szCs w:val="24"/>
              </w:rPr>
            </w:pPr>
            <w:r>
              <w:rPr>
                <w:rFonts w:hint="eastAsia" w:ascii="仿宋" w:hAnsi="仿宋" w:eastAsia="仿宋" w:cs="仿宋"/>
                <w:sz w:val="24"/>
                <w:szCs w:val="24"/>
              </w:rPr>
              <w:t>2.货物检验</w:t>
            </w:r>
          </w:p>
          <w:p w14:paraId="65DD728C">
            <w:pPr>
              <w:widowControl/>
              <w:rPr>
                <w:rFonts w:hint="eastAsia" w:ascii="仿宋" w:hAnsi="仿宋" w:eastAsia="仿宋" w:cs="仿宋"/>
                <w:sz w:val="24"/>
                <w:szCs w:val="24"/>
              </w:rPr>
            </w:pPr>
            <w:r>
              <w:rPr>
                <w:rFonts w:hint="eastAsia" w:ascii="仿宋" w:hAnsi="仿宋" w:eastAsia="仿宋" w:cs="仿宋"/>
                <w:sz w:val="24"/>
                <w:szCs w:val="24"/>
              </w:rPr>
              <w:t>3.检验方法</w:t>
            </w:r>
          </w:p>
          <w:p w14:paraId="7737AF83">
            <w:pPr>
              <w:widowControl/>
              <w:rPr>
                <w:rFonts w:hint="eastAsia" w:ascii="仿宋" w:hAnsi="仿宋" w:eastAsia="仿宋" w:cs="仿宋"/>
                <w:sz w:val="24"/>
                <w:szCs w:val="24"/>
              </w:rPr>
            </w:pPr>
            <w:r>
              <w:rPr>
                <w:rFonts w:hint="eastAsia" w:ascii="仿宋" w:hAnsi="仿宋" w:eastAsia="仿宋" w:cs="仿宋"/>
                <w:sz w:val="24"/>
                <w:szCs w:val="24"/>
              </w:rPr>
              <w:t>4.供货人员配置</w:t>
            </w:r>
          </w:p>
          <w:p w14:paraId="182EE10D">
            <w:pPr>
              <w:widowControl/>
              <w:rPr>
                <w:rFonts w:hint="eastAsia" w:ascii="仿宋" w:hAnsi="仿宋" w:eastAsia="仿宋" w:cs="仿宋"/>
                <w:sz w:val="24"/>
                <w:szCs w:val="24"/>
              </w:rPr>
            </w:pPr>
            <w:r>
              <w:rPr>
                <w:rFonts w:hint="eastAsia" w:ascii="仿宋" w:hAnsi="仿宋" w:eastAsia="仿宋" w:cs="仿宋"/>
                <w:sz w:val="24"/>
                <w:szCs w:val="24"/>
              </w:rPr>
              <w:t>5.供货计划</w:t>
            </w:r>
          </w:p>
          <w:p w14:paraId="5A9B0659">
            <w:pPr>
              <w:widowControl/>
              <w:rPr>
                <w:rFonts w:hint="eastAsia" w:ascii="仿宋" w:hAnsi="仿宋" w:eastAsia="仿宋" w:cs="仿宋"/>
                <w:sz w:val="24"/>
                <w:szCs w:val="24"/>
              </w:rPr>
            </w:pPr>
            <w:r>
              <w:rPr>
                <w:rFonts w:hint="eastAsia" w:ascii="仿宋" w:hAnsi="仿宋" w:eastAsia="仿宋" w:cs="仿宋"/>
                <w:sz w:val="24"/>
                <w:szCs w:val="24"/>
              </w:rPr>
              <w:t>以上内容每提供一小项内容完整、与项目需求吻合、思路清晰、层次细化、有具体详细的阐述且符合项目要求的得</w:t>
            </w:r>
            <w:r>
              <w:rPr>
                <w:rFonts w:hint="eastAsia" w:ascii="仿宋" w:hAnsi="仿宋" w:eastAsia="仿宋" w:cs="仿宋"/>
                <w:sz w:val="24"/>
                <w:szCs w:val="24"/>
                <w:lang w:val="en-US" w:eastAsia="zh-CN"/>
              </w:rPr>
              <w:t>2</w:t>
            </w:r>
            <w:r>
              <w:rPr>
                <w:rFonts w:hint="eastAsia" w:ascii="仿宋" w:hAnsi="仿宋" w:eastAsia="仿宋" w:cs="仿宋"/>
                <w:sz w:val="24"/>
                <w:szCs w:val="24"/>
              </w:rPr>
              <w:t>分，最高得</w:t>
            </w:r>
            <w:r>
              <w:rPr>
                <w:rFonts w:hint="eastAsia" w:ascii="仿宋" w:hAnsi="仿宋" w:eastAsia="仿宋" w:cs="仿宋"/>
                <w:sz w:val="24"/>
                <w:szCs w:val="24"/>
                <w:lang w:val="en-US" w:eastAsia="zh-CN"/>
              </w:rPr>
              <w:t>10</w:t>
            </w:r>
            <w:r>
              <w:rPr>
                <w:rFonts w:hint="eastAsia" w:ascii="仿宋" w:hAnsi="仿宋" w:eastAsia="仿宋" w:cs="仿宋"/>
                <w:sz w:val="24"/>
                <w:szCs w:val="24"/>
              </w:rPr>
              <w:t>分。每缺少一项内容的扣</w:t>
            </w:r>
            <w:r>
              <w:rPr>
                <w:rFonts w:hint="eastAsia" w:ascii="仿宋" w:hAnsi="仿宋" w:eastAsia="仿宋" w:cs="仿宋"/>
                <w:sz w:val="24"/>
                <w:szCs w:val="24"/>
                <w:lang w:val="en-US" w:eastAsia="zh-CN"/>
              </w:rPr>
              <w:t>2</w:t>
            </w:r>
            <w:r>
              <w:rPr>
                <w:rFonts w:hint="eastAsia" w:ascii="仿宋" w:hAnsi="仿宋" w:eastAsia="仿宋" w:cs="仿宋"/>
                <w:sz w:val="24"/>
                <w:szCs w:val="24"/>
              </w:rPr>
              <w:t>分，每有一处需求分析内容存在缺陷或不足的扣</w:t>
            </w:r>
            <w:r>
              <w:rPr>
                <w:rFonts w:hint="eastAsia" w:ascii="仿宋" w:hAnsi="仿宋" w:eastAsia="仿宋" w:cs="仿宋"/>
                <w:sz w:val="24"/>
                <w:szCs w:val="24"/>
                <w:lang w:val="en-US" w:eastAsia="zh-CN"/>
              </w:rPr>
              <w:t>1</w:t>
            </w:r>
            <w:r>
              <w:rPr>
                <w:rFonts w:hint="eastAsia" w:ascii="仿宋" w:hAnsi="仿宋" w:eastAsia="仿宋" w:cs="仿宋"/>
                <w:sz w:val="24"/>
                <w:szCs w:val="24"/>
              </w:rPr>
              <w:t>分，扣完为止。</w:t>
            </w:r>
          </w:p>
          <w:p w14:paraId="62B5F27E">
            <w:pPr>
              <w:widowControl/>
              <w:rPr>
                <w:rFonts w:hint="eastAsia" w:ascii="仿宋" w:hAnsi="仿宋" w:eastAsia="仿宋" w:cs="仿宋"/>
                <w:sz w:val="24"/>
                <w:szCs w:val="24"/>
              </w:rPr>
            </w:pPr>
            <w:r>
              <w:rPr>
                <w:rFonts w:hint="eastAsia" w:ascii="仿宋" w:hAnsi="仿宋" w:eastAsia="仿宋" w:cs="仿宋"/>
                <w:sz w:val="24"/>
                <w:szCs w:val="24"/>
              </w:rPr>
              <w:t>（本项最多得</w:t>
            </w:r>
            <w:r>
              <w:rPr>
                <w:rFonts w:hint="eastAsia" w:ascii="仿宋" w:hAnsi="仿宋" w:eastAsia="仿宋" w:cs="仿宋"/>
                <w:sz w:val="24"/>
                <w:szCs w:val="24"/>
                <w:lang w:val="en-US" w:eastAsia="zh-CN"/>
              </w:rPr>
              <w:t>1</w:t>
            </w:r>
            <w:r>
              <w:rPr>
                <w:rFonts w:hint="eastAsia" w:ascii="仿宋" w:hAnsi="仿宋" w:eastAsia="仿宋" w:cs="仿宋"/>
                <w:sz w:val="24"/>
                <w:szCs w:val="24"/>
              </w:rPr>
              <w:t>5分）</w:t>
            </w:r>
          </w:p>
          <w:p w14:paraId="0238B7F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r>
      <w:tr w14:paraId="45393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trPr>
        <w:tc>
          <w:tcPr>
            <w:tcW w:w="509" w:type="pct"/>
            <w:vMerge w:val="continue"/>
            <w:tcBorders>
              <w:left w:val="single" w:color="000000" w:sz="4" w:space="0"/>
              <w:bottom w:val="single" w:color="000000" w:sz="4" w:space="0"/>
              <w:right w:val="single" w:color="000000" w:sz="4" w:space="0"/>
            </w:tcBorders>
            <w:shd w:val="clear" w:color="auto" w:fill="auto"/>
            <w:vAlign w:val="center"/>
          </w:tcPr>
          <w:p w14:paraId="142106A6">
            <w:pPr>
              <w:jc w:val="center"/>
              <w:rPr>
                <w:rFonts w:hint="eastAsia" w:ascii="仿宋" w:hAnsi="仿宋" w:eastAsia="仿宋" w:cs="仿宋"/>
                <w:i w:val="0"/>
                <w:iCs w:val="0"/>
                <w:color w:val="000000"/>
                <w:sz w:val="24"/>
                <w:szCs w:val="24"/>
                <w:u w:val="none"/>
              </w:rPr>
            </w:pPr>
          </w:p>
        </w:tc>
        <w:tc>
          <w:tcPr>
            <w:tcW w:w="684" w:type="pct"/>
            <w:vMerge w:val="continue"/>
            <w:tcBorders>
              <w:left w:val="single" w:color="000000" w:sz="4" w:space="0"/>
              <w:bottom w:val="single" w:color="000000" w:sz="4" w:space="0"/>
              <w:right w:val="single" w:color="000000" w:sz="4" w:space="0"/>
            </w:tcBorders>
            <w:shd w:val="clear" w:color="auto" w:fill="auto"/>
            <w:vAlign w:val="center"/>
          </w:tcPr>
          <w:p w14:paraId="1D2ABCBA">
            <w:pPr>
              <w:jc w:val="center"/>
              <w:rPr>
                <w:rFonts w:hint="eastAsia" w:ascii="仿宋" w:hAnsi="仿宋" w:eastAsia="仿宋" w:cs="仿宋"/>
                <w:i w:val="0"/>
                <w:iCs w:val="0"/>
                <w:color w:val="000000"/>
                <w:sz w:val="24"/>
                <w:szCs w:val="24"/>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D53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rPr>
              <w:t>产品质量保证措施</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FD13E">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10分</w:t>
            </w:r>
          </w:p>
        </w:tc>
        <w:tc>
          <w:tcPr>
            <w:tcW w:w="2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F58E3">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针对本项目制定规范化的产品质量保证措施，内容应包括但不限于：</w:t>
            </w:r>
          </w:p>
          <w:p w14:paraId="788F68D0">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1. 质量保障措施</w:t>
            </w:r>
          </w:p>
          <w:p w14:paraId="179C309A">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2. 质量标准</w:t>
            </w:r>
          </w:p>
          <w:p w14:paraId="709BE84F">
            <w:pPr>
              <w:widowControl/>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3. 技术响应</w:t>
            </w:r>
            <w:r>
              <w:rPr>
                <w:rFonts w:hint="eastAsia" w:ascii="仿宋" w:hAnsi="仿宋" w:eastAsia="仿宋" w:cs="仿宋"/>
                <w:color w:val="000000"/>
                <w:sz w:val="24"/>
                <w:szCs w:val="24"/>
                <w:lang w:val="en-US" w:eastAsia="zh-CN"/>
              </w:rPr>
              <w:t>措施</w:t>
            </w:r>
          </w:p>
          <w:p w14:paraId="3E8A6113">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4. 质量保证依据</w:t>
            </w:r>
          </w:p>
          <w:p w14:paraId="25F2286E">
            <w:pPr>
              <w:widowControl/>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质量保证原则</w:t>
            </w:r>
          </w:p>
          <w:p w14:paraId="5ECD8EE0">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以上内容每提供一小项内容完整、与项目需求吻合、思路清晰、层次细化、有具体详细的阐述且符合项目要求的得</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分，最高得</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分。每缺少一项内容的扣</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分，每有一处需求分析内容存在缺陷或不足的扣</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分，扣完为止。</w:t>
            </w:r>
          </w:p>
          <w:p w14:paraId="388B308D">
            <w:pPr>
              <w:widowControl/>
              <w:rPr>
                <w:rFonts w:hint="eastAsia" w:ascii="仿宋" w:hAnsi="仿宋" w:eastAsia="仿宋" w:cs="仿宋"/>
                <w:color w:val="000000"/>
                <w:sz w:val="24"/>
                <w:szCs w:val="24"/>
              </w:rPr>
            </w:pPr>
            <w:r>
              <w:rPr>
                <w:rFonts w:hint="eastAsia" w:ascii="仿宋" w:hAnsi="仿宋" w:eastAsia="仿宋" w:cs="仿宋"/>
                <w:color w:val="000000"/>
                <w:sz w:val="24"/>
                <w:szCs w:val="24"/>
              </w:rPr>
              <w:t>（本项最多得</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分）</w:t>
            </w:r>
          </w:p>
          <w:p w14:paraId="4DB044D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sz w:val="24"/>
                <w:szCs w:val="24"/>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r>
    </w:tbl>
    <w:p w14:paraId="29F9D0CF">
      <w:pPr>
        <w:keepNext w:val="0"/>
        <w:keepLines w:val="0"/>
        <w:pageBreakBefore w:val="0"/>
        <w:widowControl/>
        <w:kinsoku/>
        <w:wordWrap/>
        <w:overflowPunct/>
        <w:topLinePunct w:val="0"/>
        <w:bidi w:val="0"/>
        <w:snapToGrid/>
        <w:spacing w:line="360" w:lineRule="auto"/>
        <w:ind w:firstLine="482" w:firstLineChars="200"/>
        <w:jc w:val="both"/>
        <w:textAlignment w:val="auto"/>
        <w:rPr>
          <w:rFonts w:hint="eastAsia" w:ascii="宋体" w:hAnsi="宋体" w:cs="宋体"/>
          <w:b/>
          <w:color w:val="auto"/>
          <w:sz w:val="24"/>
          <w:szCs w:val="24"/>
          <w:highlight w:val="none"/>
          <w:lang w:eastAsia="zh-CN"/>
        </w:rPr>
      </w:pPr>
    </w:p>
    <w:p w14:paraId="73B65789">
      <w:pPr>
        <w:pStyle w:val="18"/>
        <w:rPr>
          <w:rFonts w:hint="eastAsia" w:ascii="宋体" w:hAnsi="宋体" w:cs="宋体"/>
          <w:b/>
          <w:color w:val="auto"/>
          <w:sz w:val="24"/>
          <w:szCs w:val="24"/>
          <w:highlight w:val="none"/>
          <w:lang w:eastAsia="zh-CN"/>
        </w:rPr>
      </w:pPr>
    </w:p>
    <w:p w14:paraId="0B030A25">
      <w:pPr>
        <w:keepNext w:val="0"/>
        <w:keepLines w:val="0"/>
        <w:pageBreakBefore w:val="0"/>
        <w:widowControl/>
        <w:kinsoku/>
        <w:wordWrap/>
        <w:overflowPunct/>
        <w:topLinePunct w:val="0"/>
        <w:bidi w:val="0"/>
        <w:snapToGrid/>
        <w:spacing w:line="360" w:lineRule="auto"/>
        <w:ind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四</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政府采购政策</w:t>
      </w:r>
    </w:p>
    <w:p w14:paraId="571FA8A7">
      <w:pPr>
        <w:spacing w:line="44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注：本项目为非专门面向中小企业的采购项目，依据财政部《关于进一步加大政府采购支持中小企业力度的通知》财库〔2022〕19号规定本项目对小型和微型企业产品的价格给予10%的扣除，用扣除后的价格参与评审，但参加本次采购活动的中小企业应当提供本办法规定的《中小企业声明函》。小型、微型企业提供中型企业制造的货物的，视同为中型企业。在货物采购项目中，供应商提供的货物既有中小企业制造货物，也有大型企业制造货物的，不享受本办法规定的中小企业扶持政策。</w:t>
      </w:r>
    </w:p>
    <w:p w14:paraId="17A90161">
      <w:pPr>
        <w:spacing w:line="44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依据《财政部司法部关于政府采购支持监狱企业发展有关问题的通知》及《关于促进残疾人就业政府采购政策的通知》文件规定，在政府采购活动中，监狱企业、残疾人福利性单位视同小型、微型企业，享受预留份额、评审中价格扣除等政府采购促进中小企业发展的政府采购政策。</w:t>
      </w:r>
    </w:p>
    <w:p w14:paraId="6DC334C0">
      <w:pPr>
        <w:spacing w:line="44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对于采购的列入节能产品政府采购品目清单内的产品，供应商应提供所投产品为节能产品的证明材料，评审时不再执行价格评审优惠的扶持政策。</w:t>
      </w:r>
    </w:p>
    <w:p w14:paraId="325B5AF7">
      <w:pPr>
        <w:shd w:val="clear"/>
        <w:spacing w:line="44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本项目行业划型为</w:t>
      </w:r>
      <w:r>
        <w:rPr>
          <w:rFonts w:hint="eastAsia" w:ascii="宋体" w:hAnsi="宋体" w:cs="宋体"/>
          <w:color w:val="auto"/>
          <w:sz w:val="24"/>
          <w:highlight w:val="none"/>
          <w:u w:val="single"/>
          <w:lang w:val="en-US" w:eastAsia="zh-CN"/>
        </w:rPr>
        <w:t>制造业</w:t>
      </w:r>
      <w:r>
        <w:rPr>
          <w:rFonts w:hint="eastAsia" w:ascii="宋体" w:hAnsi="宋体" w:eastAsia="宋体" w:cs="宋体"/>
          <w:color w:val="auto"/>
          <w:sz w:val="24"/>
          <w:highlight w:val="none"/>
          <w:lang w:val="en-US" w:eastAsia="zh-CN"/>
        </w:rPr>
        <w:t>。</w:t>
      </w:r>
    </w:p>
    <w:p w14:paraId="767F0992">
      <w:pPr>
        <w:keepNext w:val="0"/>
        <w:keepLines w:val="0"/>
        <w:pageBreakBefore w:val="0"/>
        <w:widowControl/>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cs="宋体"/>
          <w:color w:val="auto"/>
          <w:sz w:val="24"/>
          <w:szCs w:val="24"/>
          <w:highlight w:val="none"/>
          <w:lang w:val="en-US" w:eastAsia="zh-CN"/>
        </w:rPr>
      </w:pPr>
    </w:p>
    <w:p w14:paraId="07B10934">
      <w:pPr>
        <w:keepNext w:val="0"/>
        <w:keepLines w:val="0"/>
        <w:pageBreakBefore w:val="0"/>
        <w:widowControl w:val="0"/>
        <w:kinsoku/>
        <w:wordWrap w:val="0"/>
        <w:overflowPunct/>
        <w:topLinePunct w:val="0"/>
        <w:autoSpaceDE/>
        <w:autoSpaceDN/>
        <w:bidi w:val="0"/>
        <w:spacing w:line="440" w:lineRule="exact"/>
        <w:ind w:left="0" w:leftChars="0" w:right="0" w:rightChars="0" w:firstLine="0" w:firstLineChars="0"/>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一、评标须知</w:t>
      </w:r>
    </w:p>
    <w:p w14:paraId="058D9420">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1.关于评标方案</w:t>
      </w:r>
    </w:p>
    <w:p w14:paraId="41172023">
      <w:pPr>
        <w:keepNext w:val="0"/>
        <w:keepLines w:val="0"/>
        <w:pageBreakBefore w:val="0"/>
        <w:widowControl w:val="0"/>
        <w:kinsoku/>
        <w:wordWrap w:val="0"/>
        <w:overflowPunct/>
        <w:topLinePunct w:val="0"/>
        <w:autoSpaceDE/>
        <w:autoSpaceDN/>
        <w:bidi w:val="0"/>
        <w:spacing w:line="4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（1）评标委员会的每位成员（简称评委）应认真地阅读并确认已经正确理解了评标方案；</w:t>
      </w:r>
    </w:p>
    <w:p w14:paraId="268D1450">
      <w:pPr>
        <w:keepNext w:val="0"/>
        <w:keepLines w:val="0"/>
        <w:pageBreakBefore w:val="0"/>
        <w:widowControl w:val="0"/>
        <w:kinsoku/>
        <w:wordWrap w:val="0"/>
        <w:overflowPunct/>
        <w:topLinePunct w:val="0"/>
        <w:autoSpaceDE/>
        <w:autoSpaceDN/>
        <w:bidi w:val="0"/>
        <w:spacing w:line="4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（2）评委如对评标方案有异议，应在评标开始前提出。</w:t>
      </w:r>
    </w:p>
    <w:p w14:paraId="32D26609">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2.关于评标纪律</w:t>
      </w:r>
    </w:p>
    <w:p w14:paraId="21477BAD">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评标委员会及其成员不得有下列行为：</w:t>
      </w:r>
    </w:p>
    <w:p w14:paraId="6975CFE2">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（一）确定参与评标至评标结束前私自接触</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6684D75C">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（二）接受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提出的与投标文件不一致的澄清或者说明；</w:t>
      </w:r>
    </w:p>
    <w:p w14:paraId="7C845A13">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（三）违反评标纪律发表倾向性意见或者征询采购人的倾向性意见；</w:t>
      </w:r>
    </w:p>
    <w:p w14:paraId="228823FC">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（四）对需要专业判断的主观评审因素协商评分；</w:t>
      </w:r>
    </w:p>
    <w:p w14:paraId="4D3907BA">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（五）在评标过程中擅离职守，影响评标程序正常进行的；</w:t>
      </w:r>
    </w:p>
    <w:p w14:paraId="5FE07BEA">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（六）记录、复制或者带走任何评标资料；</w:t>
      </w:r>
    </w:p>
    <w:p w14:paraId="5BF30BFF">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（七）其他不遵守评标纪律的行为。</w:t>
      </w:r>
    </w:p>
    <w:p w14:paraId="37045EF7">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评标委员会成员有前款第一至五项行为之一的，其评审意见无效，并不得获取评审劳务报酬和报销异地评审差旅费。</w:t>
      </w:r>
    </w:p>
    <w:p w14:paraId="40B6DFC4">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3.关于评标责任</w:t>
      </w:r>
    </w:p>
    <w:p w14:paraId="640CA7B0">
      <w:pPr>
        <w:keepNext w:val="0"/>
        <w:keepLines w:val="0"/>
        <w:pageBreakBefore w:val="0"/>
        <w:widowControl w:val="0"/>
        <w:kinsoku/>
        <w:wordWrap w:val="0"/>
        <w:overflowPunct/>
        <w:topLinePunct w:val="0"/>
        <w:autoSpaceDE/>
        <w:autoSpaceDN/>
        <w:bidi w:val="0"/>
        <w:spacing w:line="4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（1）评委应在其书面评审意见上签字确认；</w:t>
      </w:r>
    </w:p>
    <w:p w14:paraId="4F0EF7BB">
      <w:pPr>
        <w:keepNext w:val="0"/>
        <w:keepLines w:val="0"/>
        <w:pageBreakBefore w:val="0"/>
        <w:widowControl w:val="0"/>
        <w:kinsoku/>
        <w:wordWrap w:val="0"/>
        <w:overflowPunct/>
        <w:topLinePunct w:val="0"/>
        <w:autoSpaceDE/>
        <w:autoSpaceDN/>
        <w:bidi w:val="0"/>
        <w:spacing w:line="4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（2）评委对其所提出的评审意见承担个人责任。</w:t>
      </w:r>
    </w:p>
    <w:p w14:paraId="3EA40498">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4.关于回避</w:t>
      </w:r>
    </w:p>
    <w:p w14:paraId="66835323">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有下列情形之一的，不得担任评标委员会成员，如事先不知情的，应在宣读</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名单及评标纪律后主动提出回避：</w:t>
      </w:r>
    </w:p>
    <w:p w14:paraId="2CEAD9BA">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或</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主要负责人的近亲属；</w:t>
      </w:r>
    </w:p>
    <w:p w14:paraId="6DA5A923">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（2）项目主管部门或者行政监督部门的人员；</w:t>
      </w:r>
    </w:p>
    <w:p w14:paraId="5C54AA83">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（3）与</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有经济利益关系，可能影响对投标公正评审的；</w:t>
      </w:r>
    </w:p>
    <w:p w14:paraId="6CF1C669">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（4）曾因在招标、评标以及其他与招标投标有关活动中从事违法行为而受过行政处罚或刑事处罚的；</w:t>
      </w:r>
    </w:p>
    <w:p w14:paraId="36E7768B">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（5）与</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有其他利害关系。</w:t>
      </w:r>
    </w:p>
    <w:p w14:paraId="3B14C661">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5.关于保密</w:t>
      </w:r>
    </w:p>
    <w:p w14:paraId="1BE16918">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评标委员会成员和与评标活动有关的工作人员不得透露对投标文件的评审和比较、中标候选人的推荐情况以及评标有关的其他情况。</w:t>
      </w:r>
    </w:p>
    <w:p w14:paraId="0D0E8E4F">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前款所称与评标活动有关的工作人员，是指评标委员会成员以外的因参与评标监督工作或者事务性工作而知悉有关评标情况的所有人员。</w:t>
      </w:r>
    </w:p>
    <w:p w14:paraId="4C624F20">
      <w:pPr>
        <w:keepNext w:val="0"/>
        <w:keepLines w:val="0"/>
        <w:pageBreakBefore w:val="0"/>
        <w:widowControl w:val="0"/>
        <w:kinsoku/>
        <w:wordWrap w:val="0"/>
        <w:overflowPunct/>
        <w:topLinePunct w:val="0"/>
        <w:autoSpaceDE/>
        <w:autoSpaceDN/>
        <w:bidi w:val="0"/>
        <w:spacing w:line="440" w:lineRule="exact"/>
        <w:jc w:val="center"/>
        <w:textAlignment w:val="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二、评标原则</w:t>
      </w:r>
    </w:p>
    <w:p w14:paraId="504E30BC">
      <w:pPr>
        <w:keepNext w:val="0"/>
        <w:keepLines w:val="0"/>
        <w:pageBreakBefore w:val="0"/>
        <w:widowControl w:val="0"/>
        <w:kinsoku/>
        <w:wordWrap w:val="0"/>
        <w:overflowPunct/>
        <w:topLinePunct w:val="0"/>
        <w:autoSpaceDE/>
        <w:autoSpaceDN/>
        <w:bidi w:val="0"/>
        <w:spacing w:line="440" w:lineRule="exact"/>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1.评标方法</w:t>
      </w:r>
    </w:p>
    <w:p w14:paraId="14C66F6A">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评标采用综合评分法。评标委员会对满足招标文件全部实质性要求的投标文件，按照本章第2.2款规定的评分标准进行打分，并按得分由高到低顺序推荐中标候选人，但投标报价低于其成本的除外。综合评分相等时，以投标报价低的优先；得分且投标报价相同的并列。投标文件满足招标文件全部实质性要求，且按照评审因素的量化指标评审得分最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为排名第一的中标候选人，依次排列。提供相同品牌产品且通过资格审查、符合性审查的不同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参加同一合同项下投标的，按一家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计算，评审后得分最高的同品牌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获得</w:t>
      </w:r>
      <w:r>
        <w:rPr>
          <w:rFonts w:hint="eastAsia" w:ascii="宋体" w:hAnsi="宋体" w:eastAsia="宋体" w:cs="宋体"/>
          <w:color w:val="auto"/>
          <w:kern w:val="0"/>
          <w:sz w:val="24"/>
          <w:szCs w:val="24"/>
          <w:highlight w:val="none"/>
          <w:lang w:eastAsia="zh-CN"/>
        </w:rPr>
        <w:t>中标供应商</w:t>
      </w:r>
      <w:r>
        <w:rPr>
          <w:rFonts w:hint="eastAsia" w:ascii="宋体" w:hAnsi="宋体" w:eastAsia="宋体" w:cs="宋体"/>
          <w:color w:val="auto"/>
          <w:kern w:val="0"/>
          <w:sz w:val="24"/>
          <w:szCs w:val="24"/>
          <w:highlight w:val="none"/>
        </w:rPr>
        <w:t>推荐资格；得分相同的，按投标报价最低的同品牌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确定一个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获得</w:t>
      </w:r>
      <w:r>
        <w:rPr>
          <w:rFonts w:hint="eastAsia" w:ascii="宋体" w:hAnsi="宋体" w:eastAsia="宋体" w:cs="宋体"/>
          <w:color w:val="auto"/>
          <w:kern w:val="0"/>
          <w:sz w:val="24"/>
          <w:szCs w:val="24"/>
          <w:highlight w:val="none"/>
          <w:lang w:eastAsia="zh-CN"/>
        </w:rPr>
        <w:t>中标供应商</w:t>
      </w:r>
      <w:r>
        <w:rPr>
          <w:rFonts w:hint="eastAsia" w:ascii="宋体" w:hAnsi="宋体" w:eastAsia="宋体" w:cs="宋体"/>
          <w:color w:val="auto"/>
          <w:kern w:val="0"/>
          <w:sz w:val="24"/>
          <w:szCs w:val="24"/>
          <w:highlight w:val="none"/>
        </w:rPr>
        <w:t>推荐资格；得分且投标报价也相同的，按技术标评审得分最高的同品牌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确定一个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获得</w:t>
      </w:r>
      <w:r>
        <w:rPr>
          <w:rFonts w:hint="eastAsia" w:ascii="宋体" w:hAnsi="宋体" w:eastAsia="宋体" w:cs="宋体"/>
          <w:color w:val="auto"/>
          <w:kern w:val="0"/>
          <w:sz w:val="24"/>
          <w:szCs w:val="24"/>
          <w:highlight w:val="none"/>
          <w:lang w:eastAsia="zh-CN"/>
        </w:rPr>
        <w:t>中标供应商</w:t>
      </w:r>
      <w:r>
        <w:rPr>
          <w:rFonts w:hint="eastAsia" w:ascii="宋体" w:hAnsi="宋体" w:eastAsia="宋体" w:cs="宋体"/>
          <w:color w:val="auto"/>
          <w:kern w:val="0"/>
          <w:sz w:val="24"/>
          <w:szCs w:val="24"/>
          <w:highlight w:val="none"/>
        </w:rPr>
        <w:t>推荐资格。</w:t>
      </w:r>
    </w:p>
    <w:p w14:paraId="16512D98">
      <w:pPr>
        <w:keepNext w:val="0"/>
        <w:keepLines w:val="0"/>
        <w:pageBreakBefore w:val="0"/>
        <w:widowControl w:val="0"/>
        <w:kinsoku/>
        <w:wordWrap w:val="0"/>
        <w:overflowPunct/>
        <w:topLinePunct w:val="0"/>
        <w:autoSpaceDE/>
        <w:autoSpaceDN/>
        <w:bidi w:val="0"/>
        <w:spacing w:line="440" w:lineRule="exact"/>
        <w:textAlignment w:val="auto"/>
        <w:outlineLvl w:val="1"/>
        <w:rPr>
          <w:rFonts w:hint="eastAsia" w:ascii="宋体" w:hAnsi="宋体" w:eastAsia="宋体" w:cs="宋体"/>
          <w:b/>
          <w:color w:val="auto"/>
          <w:sz w:val="24"/>
          <w:szCs w:val="24"/>
          <w:highlight w:val="none"/>
        </w:rPr>
      </w:pPr>
      <w:bookmarkStart w:id="16" w:name="_Toc16369"/>
      <w:bookmarkStart w:id="17" w:name="_Toc29384712"/>
      <w:bookmarkStart w:id="18" w:name="_Toc22499"/>
      <w:r>
        <w:rPr>
          <w:rFonts w:hint="eastAsia" w:ascii="宋体" w:hAnsi="宋体" w:eastAsia="宋体" w:cs="宋体"/>
          <w:b/>
          <w:color w:val="auto"/>
          <w:sz w:val="24"/>
          <w:szCs w:val="24"/>
          <w:highlight w:val="none"/>
        </w:rPr>
        <w:t>2.评审标准</w:t>
      </w:r>
      <w:bookmarkEnd w:id="16"/>
      <w:bookmarkEnd w:id="17"/>
      <w:bookmarkEnd w:id="18"/>
    </w:p>
    <w:p w14:paraId="51434D99">
      <w:pPr>
        <w:keepNext w:val="0"/>
        <w:keepLines w:val="0"/>
        <w:pageBreakBefore w:val="0"/>
        <w:widowControl w:val="0"/>
        <w:kinsoku/>
        <w:wordWrap w:val="0"/>
        <w:overflowPunct/>
        <w:topLinePunct w:val="0"/>
        <w:autoSpaceDE/>
        <w:autoSpaceDN/>
        <w:bidi w:val="0"/>
        <w:spacing w:line="440" w:lineRule="exact"/>
        <w:textAlignment w:val="auto"/>
        <w:outlineLvl w:val="2"/>
        <w:rPr>
          <w:rFonts w:hint="eastAsia" w:ascii="宋体" w:hAnsi="宋体" w:eastAsia="宋体" w:cs="宋体"/>
          <w:b/>
          <w:bCs/>
          <w:color w:val="auto"/>
          <w:sz w:val="24"/>
          <w:szCs w:val="24"/>
          <w:highlight w:val="none"/>
        </w:rPr>
      </w:pPr>
      <w:bookmarkStart w:id="19" w:name="_Toc29384713"/>
      <w:bookmarkStart w:id="20" w:name="_Toc22191"/>
      <w:bookmarkStart w:id="21" w:name="_Toc26592"/>
      <w:r>
        <w:rPr>
          <w:rFonts w:hint="eastAsia" w:ascii="宋体" w:hAnsi="宋体" w:eastAsia="宋体" w:cs="宋体"/>
          <w:b/>
          <w:bCs/>
          <w:color w:val="auto"/>
          <w:sz w:val="24"/>
          <w:szCs w:val="24"/>
          <w:highlight w:val="none"/>
        </w:rPr>
        <w:t>2.1 初步评审标准</w:t>
      </w:r>
      <w:bookmarkEnd w:id="19"/>
      <w:bookmarkEnd w:id="20"/>
      <w:bookmarkEnd w:id="21"/>
    </w:p>
    <w:p w14:paraId="6C6A8CFB">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 形式评审标准：见评标办法前附表。</w:t>
      </w:r>
    </w:p>
    <w:p w14:paraId="27728874">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2.1.2 资格评审标准：见评标办法前附表。</w:t>
      </w:r>
    </w:p>
    <w:p w14:paraId="0D0FCB03">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2.1.3 响应性评审标准：见评标办法前附表。</w:t>
      </w:r>
    </w:p>
    <w:p w14:paraId="33F6B19F">
      <w:pPr>
        <w:keepNext w:val="0"/>
        <w:keepLines w:val="0"/>
        <w:pageBreakBefore w:val="0"/>
        <w:widowControl w:val="0"/>
        <w:kinsoku/>
        <w:wordWrap w:val="0"/>
        <w:overflowPunct/>
        <w:topLinePunct w:val="0"/>
        <w:autoSpaceDE/>
        <w:autoSpaceDN/>
        <w:bidi w:val="0"/>
        <w:spacing w:line="440" w:lineRule="exact"/>
        <w:textAlignment w:val="auto"/>
        <w:outlineLvl w:val="2"/>
        <w:rPr>
          <w:rFonts w:hint="eastAsia" w:ascii="宋体" w:hAnsi="宋体" w:eastAsia="宋体" w:cs="宋体"/>
          <w:b/>
          <w:bCs/>
          <w:color w:val="auto"/>
          <w:sz w:val="24"/>
          <w:szCs w:val="24"/>
          <w:highlight w:val="none"/>
        </w:rPr>
      </w:pPr>
      <w:bookmarkStart w:id="22" w:name="_Toc31207"/>
      <w:bookmarkStart w:id="23" w:name="_Toc16309"/>
      <w:bookmarkStart w:id="24" w:name="_Toc29384714"/>
      <w:r>
        <w:rPr>
          <w:rFonts w:hint="eastAsia" w:ascii="宋体" w:hAnsi="宋体" w:eastAsia="宋体" w:cs="宋体"/>
          <w:b/>
          <w:bCs/>
          <w:color w:val="auto"/>
          <w:sz w:val="24"/>
          <w:szCs w:val="24"/>
          <w:highlight w:val="none"/>
        </w:rPr>
        <w:t>2.2 分值构成与评分标准</w:t>
      </w:r>
      <w:bookmarkEnd w:id="22"/>
      <w:bookmarkEnd w:id="23"/>
      <w:bookmarkEnd w:id="24"/>
    </w:p>
    <w:p w14:paraId="734FC927">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2.2.1 分值构成</w:t>
      </w:r>
    </w:p>
    <w:p w14:paraId="0082B55C">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（1）商务部分：见评标办法前附表；</w:t>
      </w:r>
    </w:p>
    <w:p w14:paraId="38556289">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（2）技术部分：见评标办法前附表；</w:t>
      </w:r>
    </w:p>
    <w:p w14:paraId="3D7486A9">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2.2.2 评标基准价计算</w:t>
      </w:r>
    </w:p>
    <w:p w14:paraId="7AD54455">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评标基准价计算方法：见评标办法前附表。</w:t>
      </w:r>
    </w:p>
    <w:p w14:paraId="3A1E911D">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2.2.3 评分标准</w:t>
      </w:r>
    </w:p>
    <w:p w14:paraId="3FEF9A80">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（1）商务部分评分标准：见评标办法前附表；</w:t>
      </w:r>
    </w:p>
    <w:p w14:paraId="5755D456">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（2）技术部分评分标准：见评标办法前附表；</w:t>
      </w:r>
    </w:p>
    <w:p w14:paraId="0685E7EE">
      <w:pPr>
        <w:keepNext w:val="0"/>
        <w:keepLines w:val="0"/>
        <w:pageBreakBefore w:val="0"/>
        <w:widowControl w:val="0"/>
        <w:kinsoku/>
        <w:wordWrap w:val="0"/>
        <w:overflowPunct/>
        <w:topLinePunct w:val="0"/>
        <w:autoSpaceDE/>
        <w:autoSpaceDN/>
        <w:bidi w:val="0"/>
        <w:spacing w:line="440" w:lineRule="exact"/>
        <w:textAlignment w:val="auto"/>
        <w:outlineLvl w:val="1"/>
        <w:rPr>
          <w:rFonts w:hint="eastAsia" w:ascii="宋体" w:hAnsi="宋体" w:eastAsia="宋体" w:cs="宋体"/>
          <w:b/>
          <w:color w:val="auto"/>
          <w:sz w:val="24"/>
          <w:szCs w:val="24"/>
          <w:highlight w:val="none"/>
        </w:rPr>
      </w:pPr>
      <w:bookmarkStart w:id="25" w:name="_Toc25483"/>
      <w:bookmarkStart w:id="26" w:name="_Toc17939"/>
      <w:bookmarkStart w:id="27" w:name="_Toc29384715"/>
      <w:r>
        <w:rPr>
          <w:rFonts w:hint="eastAsia" w:ascii="宋体" w:hAnsi="宋体" w:eastAsia="宋体" w:cs="宋体"/>
          <w:b/>
          <w:color w:val="auto"/>
          <w:sz w:val="24"/>
          <w:szCs w:val="24"/>
          <w:highlight w:val="none"/>
        </w:rPr>
        <w:t>3.评标程序</w:t>
      </w:r>
      <w:bookmarkEnd w:id="25"/>
      <w:bookmarkEnd w:id="26"/>
      <w:bookmarkEnd w:id="27"/>
    </w:p>
    <w:p w14:paraId="5B1EC91E">
      <w:pPr>
        <w:keepNext w:val="0"/>
        <w:keepLines w:val="0"/>
        <w:pageBreakBefore w:val="0"/>
        <w:widowControl w:val="0"/>
        <w:kinsoku/>
        <w:wordWrap w:val="0"/>
        <w:overflowPunct/>
        <w:topLinePunct w:val="0"/>
        <w:autoSpaceDE/>
        <w:autoSpaceDN/>
        <w:bidi w:val="0"/>
        <w:spacing w:line="440" w:lineRule="exact"/>
        <w:textAlignment w:val="auto"/>
        <w:outlineLvl w:val="2"/>
        <w:rPr>
          <w:rFonts w:hint="eastAsia" w:ascii="宋体" w:hAnsi="宋体" w:eastAsia="宋体" w:cs="宋体"/>
          <w:b/>
          <w:bCs/>
          <w:color w:val="auto"/>
          <w:sz w:val="24"/>
          <w:szCs w:val="24"/>
          <w:highlight w:val="none"/>
        </w:rPr>
      </w:pPr>
      <w:bookmarkStart w:id="28" w:name="_Toc22121"/>
      <w:bookmarkStart w:id="29" w:name="_Toc29384716"/>
      <w:bookmarkStart w:id="30" w:name="_Toc21277"/>
      <w:r>
        <w:rPr>
          <w:rFonts w:hint="eastAsia" w:ascii="宋体" w:hAnsi="宋体" w:eastAsia="宋体" w:cs="宋体"/>
          <w:b/>
          <w:bCs/>
          <w:color w:val="auto"/>
          <w:sz w:val="24"/>
          <w:szCs w:val="24"/>
          <w:highlight w:val="none"/>
        </w:rPr>
        <w:t>3.1 初步评审</w:t>
      </w:r>
      <w:bookmarkEnd w:id="28"/>
      <w:bookmarkEnd w:id="29"/>
      <w:bookmarkEnd w:id="30"/>
    </w:p>
    <w:p w14:paraId="074C16D0">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3.1.1 评标委员会可以要求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提交第二章“</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须知”规定的有关证明和证件的原件，以便核验。评标委员会依据本章第 2.1 款规定的标准对投标文件进行初步评审。有一项不符合评审标准的，评标委员会应当否决其投标。</w:t>
      </w:r>
    </w:p>
    <w:p w14:paraId="039DA2CE">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3.1.2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有以下情形之一的，评标委员会应当否决其投标：</w:t>
      </w:r>
    </w:p>
    <w:p w14:paraId="5197AD74">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(1)第二章“</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须知”前附表及正文规定的任何一种投标无效、废标、否决投标的情况；</w:t>
      </w:r>
    </w:p>
    <w:p w14:paraId="0F5C26D9">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(2)串通投标或弄虚作假或有其他违法行为的：</w:t>
      </w:r>
    </w:p>
    <w:p w14:paraId="42E9089E">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(3)不按评标委员会要求澄清、说明或补正的。</w:t>
      </w:r>
    </w:p>
    <w:p w14:paraId="23FB5CA6">
      <w:pPr>
        <w:keepNext w:val="0"/>
        <w:keepLines w:val="0"/>
        <w:pageBreakBefore w:val="0"/>
        <w:widowControl w:val="0"/>
        <w:kinsoku/>
        <w:wordWrap w:val="0"/>
        <w:overflowPunct/>
        <w:topLinePunct w:val="0"/>
        <w:autoSpaceDE/>
        <w:autoSpaceDN/>
        <w:bidi w:val="0"/>
        <w:spacing w:line="440" w:lineRule="exact"/>
        <w:textAlignment w:val="auto"/>
        <w:outlineLvl w:val="2"/>
        <w:rPr>
          <w:rFonts w:hint="eastAsia" w:ascii="宋体" w:hAnsi="宋体" w:eastAsia="宋体" w:cs="宋体"/>
          <w:color w:val="auto"/>
          <w:sz w:val="24"/>
          <w:szCs w:val="24"/>
          <w:highlight w:val="none"/>
        </w:rPr>
      </w:pPr>
      <w:bookmarkStart w:id="31" w:name="_Toc29384717"/>
      <w:bookmarkStart w:id="32" w:name="_Toc24126"/>
      <w:bookmarkStart w:id="33" w:name="_Toc415"/>
      <w:r>
        <w:rPr>
          <w:rFonts w:hint="eastAsia" w:ascii="宋体" w:hAnsi="宋体" w:eastAsia="宋体" w:cs="宋体"/>
          <w:b/>
          <w:bCs/>
          <w:color w:val="auto"/>
          <w:sz w:val="24"/>
          <w:szCs w:val="24"/>
          <w:highlight w:val="none"/>
        </w:rPr>
        <w:t>3.2 详细评审</w:t>
      </w:r>
      <w:bookmarkEnd w:id="31"/>
      <w:bookmarkEnd w:id="32"/>
      <w:bookmarkEnd w:id="33"/>
    </w:p>
    <w:p w14:paraId="75141DCA">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3.2.1 评标委员会按本章第 2.2 款规定的量化因素和分值进行打分，并计算出综合评估得分。</w:t>
      </w:r>
    </w:p>
    <w:p w14:paraId="7143FA0F">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（1）按本章第 2.2.3（1）目规定的评审因素和分值对商务部分计算出得分 A；</w:t>
      </w:r>
    </w:p>
    <w:p w14:paraId="325B2765">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（2）按本章第 2.2.4（2）目规定的评审因素和分值对技术部分计算出得分 B；</w:t>
      </w:r>
    </w:p>
    <w:p w14:paraId="6F2B0602">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3.2.2 评分分值计算保留小数点后两位，小数点后第三位“四舍五入”。</w:t>
      </w:r>
    </w:p>
    <w:p w14:paraId="1EE9FCA4">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3.2.3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得分=A+B。</w:t>
      </w:r>
    </w:p>
    <w:p w14:paraId="46E46A4E">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3.2.4 评标委员会发现</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的报价明显低于其他通过符合性审查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的报价，或者在设有标底时明显低于标底，使得其投标报价可能低于其个别成本的，可能影响产品质量或者不能诚信履约的，应当要求其在评标现场合理的时间内提供书面说明，必要时提交相关证明材料；</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不能证明其报价合理性的，评标委员会应当将其作为无效投标处理。以低于成本报价竞标，其投标将被否决。</w:t>
      </w:r>
    </w:p>
    <w:p w14:paraId="6F0FC242">
      <w:pPr>
        <w:keepNext w:val="0"/>
        <w:keepLines w:val="0"/>
        <w:pageBreakBefore w:val="0"/>
        <w:widowControl w:val="0"/>
        <w:kinsoku/>
        <w:wordWrap w:val="0"/>
        <w:overflowPunct/>
        <w:topLinePunct w:val="0"/>
        <w:autoSpaceDE/>
        <w:autoSpaceDN/>
        <w:bidi w:val="0"/>
        <w:spacing w:line="440" w:lineRule="exact"/>
        <w:textAlignment w:val="auto"/>
        <w:outlineLvl w:val="2"/>
        <w:rPr>
          <w:rFonts w:hint="eastAsia" w:ascii="宋体" w:hAnsi="宋体" w:eastAsia="宋体" w:cs="宋体"/>
          <w:b/>
          <w:bCs/>
          <w:color w:val="auto"/>
          <w:sz w:val="24"/>
          <w:szCs w:val="24"/>
          <w:highlight w:val="none"/>
        </w:rPr>
      </w:pPr>
      <w:bookmarkStart w:id="34" w:name="_Toc31488"/>
      <w:bookmarkStart w:id="35" w:name="_Toc29384718"/>
      <w:bookmarkStart w:id="36" w:name="_Toc11784"/>
      <w:r>
        <w:rPr>
          <w:rFonts w:hint="eastAsia" w:ascii="宋体" w:hAnsi="宋体" w:eastAsia="宋体" w:cs="宋体"/>
          <w:b/>
          <w:bCs/>
          <w:color w:val="auto"/>
          <w:sz w:val="24"/>
          <w:szCs w:val="24"/>
          <w:highlight w:val="none"/>
        </w:rPr>
        <w:t>3.3 投标文件的澄清</w:t>
      </w:r>
      <w:bookmarkEnd w:id="34"/>
      <w:bookmarkEnd w:id="35"/>
      <w:bookmarkEnd w:id="36"/>
      <w:r>
        <w:rPr>
          <w:rFonts w:hint="eastAsia" w:ascii="宋体" w:hAnsi="宋体" w:eastAsia="宋体" w:cs="宋体"/>
          <w:b/>
          <w:bCs/>
          <w:color w:val="auto"/>
          <w:sz w:val="24"/>
          <w:szCs w:val="24"/>
          <w:highlight w:val="none"/>
        </w:rPr>
        <w:t>和补正</w:t>
      </w:r>
    </w:p>
    <w:p w14:paraId="45C1F579">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 在评标过程中，评标委员会可以书面形式要求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对所提交投标文件中不明确的内容进行书面澄清或说明，或者对细微偏差进行补正。评标委员会不接受</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主动提出的澄清、说明或补正。</w:t>
      </w:r>
    </w:p>
    <w:p w14:paraId="108114E8">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3.3.2 澄清、说明和补正不得改变投标文件的实质性内容(算术性错误修正的除外)。</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的书面澄清、说明和补正属于投标文件的组成部分。</w:t>
      </w:r>
    </w:p>
    <w:p w14:paraId="480BF986">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3.3.3 评标委员会对</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提交的澄清、说明或补正有疑问的，可以要求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进一步澄清、说明或补正，直至满足评标委员会的要求。</w:t>
      </w:r>
    </w:p>
    <w:p w14:paraId="1C7142B7">
      <w:pPr>
        <w:keepNext w:val="0"/>
        <w:keepLines w:val="0"/>
        <w:pageBreakBefore w:val="0"/>
        <w:widowControl w:val="0"/>
        <w:kinsoku/>
        <w:wordWrap w:val="0"/>
        <w:overflowPunct/>
        <w:topLinePunct w:val="0"/>
        <w:autoSpaceDE/>
        <w:autoSpaceDN/>
        <w:bidi w:val="0"/>
        <w:spacing w:line="440" w:lineRule="exact"/>
        <w:textAlignment w:val="auto"/>
        <w:outlineLvl w:val="2"/>
        <w:rPr>
          <w:rFonts w:hint="eastAsia" w:ascii="宋体" w:hAnsi="宋体" w:eastAsia="宋体" w:cs="宋体"/>
          <w:b/>
          <w:bCs/>
          <w:color w:val="auto"/>
          <w:sz w:val="24"/>
          <w:szCs w:val="24"/>
          <w:highlight w:val="none"/>
        </w:rPr>
      </w:pPr>
      <w:bookmarkStart w:id="37" w:name="_Toc19075"/>
      <w:bookmarkStart w:id="38" w:name="_Toc29384719"/>
      <w:bookmarkStart w:id="39" w:name="_Toc4950"/>
      <w:r>
        <w:rPr>
          <w:rFonts w:hint="eastAsia" w:ascii="宋体" w:hAnsi="宋体" w:eastAsia="宋体" w:cs="宋体"/>
          <w:b/>
          <w:bCs/>
          <w:color w:val="auto"/>
          <w:sz w:val="24"/>
          <w:szCs w:val="24"/>
          <w:highlight w:val="none"/>
        </w:rPr>
        <w:t>3.4 评标结果</w:t>
      </w:r>
      <w:bookmarkEnd w:id="37"/>
      <w:bookmarkEnd w:id="38"/>
      <w:bookmarkEnd w:id="39"/>
    </w:p>
    <w:p w14:paraId="79960D64">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3.4.1 除第二章“</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须知”前附表授权直接确定</w:t>
      </w:r>
      <w:r>
        <w:rPr>
          <w:rFonts w:hint="eastAsia" w:ascii="宋体" w:hAnsi="宋体" w:eastAsia="宋体" w:cs="宋体"/>
          <w:color w:val="auto"/>
          <w:kern w:val="0"/>
          <w:sz w:val="24"/>
          <w:szCs w:val="24"/>
          <w:highlight w:val="none"/>
          <w:lang w:eastAsia="zh-CN"/>
        </w:rPr>
        <w:t>中标供应商</w:t>
      </w:r>
      <w:r>
        <w:rPr>
          <w:rFonts w:hint="eastAsia" w:ascii="宋体" w:hAnsi="宋体" w:eastAsia="宋体" w:cs="宋体"/>
          <w:color w:val="auto"/>
          <w:kern w:val="0"/>
          <w:sz w:val="24"/>
          <w:szCs w:val="24"/>
          <w:highlight w:val="none"/>
        </w:rPr>
        <w:t>外，评标委员会按照得分由高到低的顺序推荐中标候选人，排名第一的中标候选人放弃中标、因不可抗力不能履行合同、不按照招标文件要求提交履约保证金，或者被查实存在影响中标结果的违法行为等情形，不符合中标条件的，采购人可以选择重新招标，或按照评标委员会提出的中标候选人名单排序依次确定其他中标候选人为</w:t>
      </w:r>
      <w:r>
        <w:rPr>
          <w:rFonts w:hint="eastAsia" w:ascii="宋体" w:hAnsi="宋体" w:eastAsia="宋体" w:cs="宋体"/>
          <w:color w:val="auto"/>
          <w:kern w:val="0"/>
          <w:sz w:val="24"/>
          <w:szCs w:val="24"/>
          <w:highlight w:val="none"/>
          <w:lang w:eastAsia="zh-CN"/>
        </w:rPr>
        <w:t>中标供应商</w:t>
      </w:r>
      <w:r>
        <w:rPr>
          <w:rFonts w:hint="eastAsia" w:ascii="宋体" w:hAnsi="宋体" w:eastAsia="宋体" w:cs="宋体"/>
          <w:color w:val="auto"/>
          <w:kern w:val="0"/>
          <w:sz w:val="24"/>
          <w:szCs w:val="24"/>
          <w:highlight w:val="none"/>
        </w:rPr>
        <w:t>。</w:t>
      </w:r>
    </w:p>
    <w:p w14:paraId="3B59F743">
      <w:pPr>
        <w:keepNext w:val="0"/>
        <w:keepLines w:val="0"/>
        <w:pageBreakBefore w:val="0"/>
        <w:widowControl w:val="0"/>
        <w:kinsoku/>
        <w:wordWrap w:val="0"/>
        <w:overflowPunct/>
        <w:topLinePunct w:val="0"/>
        <w:autoSpaceDE/>
        <w:autoSpaceDN/>
        <w:bidi w:val="0"/>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3.4.2 评标委员会确定中标候选供应商名单：3名，采购人委托评标委员会直接确定推荐顺序第一的中标候选人为中标人。</w:t>
      </w:r>
    </w:p>
    <w:p w14:paraId="7C6AE80A">
      <w:pPr>
        <w:keepNext w:val="0"/>
        <w:keepLines w:val="0"/>
        <w:pageBreakBefore w:val="0"/>
        <w:widowControl/>
        <w:kinsoku/>
        <w:wordWrap/>
        <w:overflowPunct/>
        <w:topLinePunct w:val="0"/>
        <w:autoSpaceDE w:val="0"/>
        <w:autoSpaceDN w:val="0"/>
        <w:bidi w:val="0"/>
        <w:adjustRightInd w:val="0"/>
        <w:snapToGrid/>
        <w:spacing w:line="288" w:lineRule="auto"/>
        <w:ind w:firstLine="480" w:firstLineChars="200"/>
        <w:textAlignment w:val="auto"/>
        <w:rPr>
          <w:rFonts w:hint="eastAsia" w:ascii="宋体" w:hAnsi="宋体" w:eastAsia="宋体" w:cs="宋体"/>
          <w:color w:val="auto"/>
          <w:sz w:val="24"/>
          <w:szCs w:val="24"/>
          <w:highlight w:val="yellow"/>
        </w:rPr>
      </w:pPr>
    </w:p>
    <w:p w14:paraId="7ED5B2BE">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val="en-US" w:eastAsia="zh-CN"/>
        </w:rPr>
        <w:t>政府采购促进中小企业发展管理办法</w:t>
      </w:r>
    </w:p>
    <w:p w14:paraId="69BD8237">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财库〔2020〕46号</w:t>
      </w:r>
    </w:p>
    <w:p w14:paraId="5B2A3591">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 xml:space="preserve">    </w:t>
      </w:r>
      <w:r>
        <w:rPr>
          <w:rStyle w:val="48"/>
          <w:rFonts w:hint="eastAsia" w:ascii="宋体" w:hAnsi="宋体" w:eastAsia="宋体" w:cs="宋体"/>
          <w:bCs w:val="0"/>
          <w:color w:val="auto"/>
          <w:kern w:val="0"/>
          <w:sz w:val="24"/>
          <w:szCs w:val="24"/>
          <w:highlight w:val="none"/>
          <w:lang w:val="en-US" w:eastAsia="zh-CN" w:bidi="ar"/>
        </w:rPr>
        <w:t>第一条</w:t>
      </w:r>
      <w:r>
        <w:rPr>
          <w:rFonts w:hint="eastAsia" w:ascii="宋体" w:hAnsi="宋体" w:eastAsia="宋体" w:cs="宋体"/>
          <w:b w:val="0"/>
          <w:bCs w:val="0"/>
          <w:color w:val="auto"/>
          <w:kern w:val="0"/>
          <w:sz w:val="24"/>
          <w:szCs w:val="24"/>
          <w:highlight w:val="none"/>
          <w:lang w:val="en-US" w:eastAsia="zh-CN" w:bidi="ar"/>
        </w:rPr>
        <w:t xml:space="preserve">  为了发挥政府采购的政策功能，促进中小企业健康发展，根据《中华人民共和国政府采购法》、《中华人民共和国中小企业促进法》等有关法律法规，制定本办法。</w:t>
      </w:r>
    </w:p>
    <w:p w14:paraId="18CD8CC9">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2" w:firstLineChars="200"/>
        <w:jc w:val="left"/>
        <w:textAlignment w:val="auto"/>
        <w:rPr>
          <w:rFonts w:hint="eastAsia" w:ascii="宋体" w:hAnsi="宋体" w:eastAsia="宋体" w:cs="宋体"/>
          <w:color w:val="auto"/>
          <w:sz w:val="24"/>
          <w:szCs w:val="24"/>
          <w:highlight w:val="none"/>
        </w:rPr>
      </w:pPr>
      <w:r>
        <w:rPr>
          <w:rStyle w:val="48"/>
          <w:rFonts w:hint="eastAsia" w:ascii="宋体" w:hAnsi="宋体" w:eastAsia="宋体" w:cs="宋体"/>
          <w:bCs w:val="0"/>
          <w:color w:val="auto"/>
          <w:kern w:val="0"/>
          <w:sz w:val="24"/>
          <w:szCs w:val="24"/>
          <w:highlight w:val="none"/>
          <w:lang w:val="en-US" w:eastAsia="zh-CN" w:bidi="ar"/>
        </w:rPr>
        <w:t>第二条</w:t>
      </w:r>
      <w:r>
        <w:rPr>
          <w:rFonts w:hint="eastAsia" w:ascii="宋体" w:hAnsi="宋体" w:eastAsia="宋体" w:cs="宋体"/>
          <w:b w:val="0"/>
          <w:bCs w:val="0"/>
          <w:color w:val="auto"/>
          <w:kern w:val="0"/>
          <w:sz w:val="24"/>
          <w:szCs w:val="24"/>
          <w:highlight w:val="none"/>
          <w:lang w:val="en-US" w:eastAsia="zh-CN" w:bidi="ar"/>
        </w:rPr>
        <w:t xml:space="preserve">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F803775">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符合中小企业划分标准的个体工商户，在政府采购活动中视同中小企业。</w:t>
      </w:r>
    </w:p>
    <w:p w14:paraId="4400F754">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 xml:space="preserve">   </w:t>
      </w:r>
      <w:r>
        <w:rPr>
          <w:rStyle w:val="48"/>
          <w:rFonts w:hint="eastAsia" w:ascii="宋体" w:hAnsi="宋体" w:eastAsia="宋体" w:cs="宋体"/>
          <w:bCs w:val="0"/>
          <w:color w:val="auto"/>
          <w:kern w:val="0"/>
          <w:sz w:val="24"/>
          <w:szCs w:val="24"/>
          <w:highlight w:val="none"/>
          <w:lang w:val="en-US" w:eastAsia="zh-CN" w:bidi="ar"/>
        </w:rPr>
        <w:t xml:space="preserve"> 第三条</w:t>
      </w:r>
      <w:r>
        <w:rPr>
          <w:rFonts w:hint="eastAsia" w:ascii="宋体" w:hAnsi="宋体" w:eastAsia="宋体" w:cs="宋体"/>
          <w:b w:val="0"/>
          <w:bCs w:val="0"/>
          <w:color w:val="auto"/>
          <w:kern w:val="0"/>
          <w:sz w:val="24"/>
          <w:szCs w:val="24"/>
          <w:highlight w:val="none"/>
          <w:lang w:val="en-US" w:eastAsia="zh-CN" w:bidi="ar"/>
        </w:rPr>
        <w:t xml:space="preserve">  采购人在政府采购活动中应当通过加强采购需求管理，落实预留采购份额、价格评审优惠、优先采购等措施，提高中小企业在政府采购中的份额，支持中小企业发展。</w:t>
      </w:r>
    </w:p>
    <w:p w14:paraId="00BF1486">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2" w:firstLineChars="200"/>
        <w:jc w:val="left"/>
        <w:textAlignment w:val="auto"/>
        <w:rPr>
          <w:rFonts w:hint="eastAsia" w:ascii="宋体" w:hAnsi="宋体" w:eastAsia="宋体" w:cs="宋体"/>
          <w:color w:val="auto"/>
          <w:sz w:val="24"/>
          <w:szCs w:val="24"/>
          <w:highlight w:val="none"/>
        </w:rPr>
      </w:pPr>
      <w:r>
        <w:rPr>
          <w:rStyle w:val="48"/>
          <w:rFonts w:hint="eastAsia" w:ascii="宋体" w:hAnsi="宋体" w:eastAsia="宋体" w:cs="宋体"/>
          <w:bCs w:val="0"/>
          <w:color w:val="auto"/>
          <w:kern w:val="0"/>
          <w:sz w:val="24"/>
          <w:szCs w:val="24"/>
          <w:highlight w:val="none"/>
          <w:lang w:val="en-US" w:eastAsia="zh-CN" w:bidi="ar"/>
        </w:rPr>
        <w:t>第四条</w:t>
      </w:r>
      <w:r>
        <w:rPr>
          <w:rFonts w:hint="eastAsia" w:ascii="宋体" w:hAnsi="宋体" w:eastAsia="宋体" w:cs="宋体"/>
          <w:b w:val="0"/>
          <w:bCs w:val="0"/>
          <w:color w:val="auto"/>
          <w:kern w:val="0"/>
          <w:sz w:val="24"/>
          <w:szCs w:val="24"/>
          <w:highlight w:val="none"/>
          <w:lang w:val="en-US" w:eastAsia="zh-CN" w:bidi="ar"/>
        </w:rPr>
        <w:t xml:space="preserve">  在政府采购活动中，供应商提供的货物、工程或者服务符合下列情形的，享受本办法规定的中小企业扶持政策：</w:t>
      </w:r>
    </w:p>
    <w:p w14:paraId="185286E9">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（一）在货物采购项目中，货物由中小企业制造，即货物由中小企业生产且使用该中小企业商号或者注册商标；</w:t>
      </w:r>
    </w:p>
    <w:p w14:paraId="5574C0FF">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（二）在工程采购项目中，工程由中小企业承建，即工程施工单位为中小企业；</w:t>
      </w:r>
    </w:p>
    <w:p w14:paraId="0FDA7D2E">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（三）在服务采购项目中，服务由中小企业承接，即提供服务的人员为中小企业依照《中华人民共和国劳动合同法》订立劳动合同的从业人员。</w:t>
      </w:r>
    </w:p>
    <w:p w14:paraId="7972D851">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在货物采购项目中，供应商提供的货物既有中小企业制造货物，也有大型企业制造货物的，不享受本办法规定的中小企业扶持政策。</w:t>
      </w:r>
    </w:p>
    <w:p w14:paraId="0720F70D">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以联合体形式参加政府采购活动，联合体各方均为中小企业的，联合体视同中小企业。其中，联合体各方均为小微企业的，联合体视同小微企业。</w:t>
      </w:r>
    </w:p>
    <w:p w14:paraId="5B3EE729">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2" w:firstLineChars="200"/>
        <w:jc w:val="left"/>
        <w:textAlignment w:val="auto"/>
        <w:rPr>
          <w:rFonts w:hint="eastAsia" w:ascii="宋体" w:hAnsi="宋体" w:eastAsia="宋体" w:cs="宋体"/>
          <w:color w:val="auto"/>
          <w:sz w:val="24"/>
          <w:szCs w:val="24"/>
          <w:highlight w:val="none"/>
        </w:rPr>
      </w:pPr>
      <w:r>
        <w:rPr>
          <w:rStyle w:val="48"/>
          <w:rFonts w:hint="eastAsia" w:ascii="宋体" w:hAnsi="宋体" w:eastAsia="宋体" w:cs="宋体"/>
          <w:bCs w:val="0"/>
          <w:color w:val="auto"/>
          <w:kern w:val="0"/>
          <w:sz w:val="24"/>
          <w:szCs w:val="24"/>
          <w:highlight w:val="none"/>
          <w:lang w:val="en-US" w:eastAsia="zh-CN" w:bidi="ar"/>
        </w:rPr>
        <w:t>第五条</w:t>
      </w:r>
      <w:r>
        <w:rPr>
          <w:rFonts w:hint="eastAsia" w:ascii="宋体" w:hAnsi="宋体" w:eastAsia="宋体" w:cs="宋体"/>
          <w:b w:val="0"/>
          <w:bCs w:val="0"/>
          <w:color w:val="auto"/>
          <w:kern w:val="0"/>
          <w:sz w:val="24"/>
          <w:szCs w:val="24"/>
          <w:highlight w:val="none"/>
          <w:lang w:val="en-US" w:eastAsia="zh-CN" w:bidi="ar"/>
        </w:rPr>
        <w:t xml:space="preserve">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0721D3D1">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2" w:firstLineChars="200"/>
        <w:jc w:val="left"/>
        <w:textAlignment w:val="auto"/>
        <w:rPr>
          <w:rFonts w:hint="eastAsia" w:ascii="宋体" w:hAnsi="宋体" w:eastAsia="宋体" w:cs="宋体"/>
          <w:color w:val="auto"/>
          <w:sz w:val="24"/>
          <w:szCs w:val="24"/>
          <w:highlight w:val="none"/>
        </w:rPr>
      </w:pPr>
      <w:r>
        <w:rPr>
          <w:rStyle w:val="48"/>
          <w:rFonts w:hint="eastAsia" w:ascii="宋体" w:hAnsi="宋体" w:eastAsia="宋体" w:cs="宋体"/>
          <w:bCs w:val="0"/>
          <w:color w:val="auto"/>
          <w:kern w:val="0"/>
          <w:sz w:val="24"/>
          <w:szCs w:val="24"/>
          <w:highlight w:val="none"/>
          <w:lang w:val="en-US" w:eastAsia="zh-CN" w:bidi="ar"/>
        </w:rPr>
        <w:t>第六条</w:t>
      </w:r>
      <w:r>
        <w:rPr>
          <w:rFonts w:hint="eastAsia" w:ascii="宋体" w:hAnsi="宋体" w:eastAsia="宋体" w:cs="宋体"/>
          <w:b w:val="0"/>
          <w:bCs w:val="0"/>
          <w:color w:val="auto"/>
          <w:kern w:val="0"/>
          <w:sz w:val="24"/>
          <w:szCs w:val="24"/>
          <w:highlight w:val="none"/>
          <w:lang w:val="en-US" w:eastAsia="zh-CN" w:bidi="ar"/>
        </w:rPr>
        <w:t xml:space="preserve">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20FCF410">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符合下列情形之一的，可不专门面向中小企业预留采购份额：</w:t>
      </w:r>
    </w:p>
    <w:p w14:paraId="2F0F1121">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（一）法律法规和国家有关政策明确规定优先或者应当面向事业单位、社会组织等非企业主体采购的；</w:t>
      </w:r>
    </w:p>
    <w:p w14:paraId="6117B9E5">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（二）因确需使用不可替代的专利、专有技术，基础设施限制，或者提供特定公共服务等原因，只能从中小企业之外的供应商处采购的；</w:t>
      </w:r>
    </w:p>
    <w:p w14:paraId="72ACEB1A">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（三）按照本办法规定预留采购份额无法确保充分供应、充分竞争，或者存在可能影响政府采购目标实现的情形；</w:t>
      </w:r>
    </w:p>
    <w:p w14:paraId="39F3C05E">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（四）框架协议采购项目；</w:t>
      </w:r>
    </w:p>
    <w:p w14:paraId="27018225">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（五）省级以上人民政府财政部门规定的其他情形。</w:t>
      </w:r>
    </w:p>
    <w:p w14:paraId="14F24F70">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除上述情形外，其他均为适宜由中小企业提供的情形。</w:t>
      </w:r>
    </w:p>
    <w:p w14:paraId="0DF85739">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2" w:firstLineChars="200"/>
        <w:jc w:val="left"/>
        <w:textAlignment w:val="auto"/>
        <w:rPr>
          <w:rFonts w:hint="eastAsia" w:ascii="宋体" w:hAnsi="宋体" w:eastAsia="宋体" w:cs="宋体"/>
          <w:color w:val="auto"/>
          <w:sz w:val="24"/>
          <w:szCs w:val="24"/>
          <w:highlight w:val="none"/>
        </w:rPr>
      </w:pPr>
      <w:r>
        <w:rPr>
          <w:rStyle w:val="48"/>
          <w:rFonts w:hint="eastAsia" w:ascii="宋体" w:hAnsi="宋体" w:eastAsia="宋体" w:cs="宋体"/>
          <w:bCs w:val="0"/>
          <w:color w:val="auto"/>
          <w:kern w:val="0"/>
          <w:sz w:val="24"/>
          <w:szCs w:val="24"/>
          <w:highlight w:val="none"/>
          <w:lang w:val="en-US" w:eastAsia="zh-CN" w:bidi="ar"/>
        </w:rPr>
        <w:t>第七条</w:t>
      </w:r>
      <w:r>
        <w:rPr>
          <w:rFonts w:hint="eastAsia" w:ascii="宋体" w:hAnsi="宋体" w:eastAsia="宋体" w:cs="宋体"/>
          <w:b w:val="0"/>
          <w:bCs w:val="0"/>
          <w:color w:val="auto"/>
          <w:kern w:val="0"/>
          <w:sz w:val="24"/>
          <w:szCs w:val="24"/>
          <w:highlight w:val="none"/>
          <w:lang w:val="en-US" w:eastAsia="zh-CN" w:bidi="ar"/>
        </w:rPr>
        <w:t xml:space="preserve">  采购限额标准以上，200 万元以下的货物和服务采购项目、400 万元以下的工程采购项目，适宜由中小企业提供的，采购人应当专门面向中小企业采购。</w:t>
      </w:r>
    </w:p>
    <w:p w14:paraId="71CC11F1">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2" w:firstLineChars="200"/>
        <w:jc w:val="left"/>
        <w:textAlignment w:val="auto"/>
        <w:rPr>
          <w:rFonts w:hint="eastAsia" w:ascii="宋体" w:hAnsi="宋体" w:eastAsia="宋体" w:cs="宋体"/>
          <w:color w:val="auto"/>
          <w:sz w:val="24"/>
          <w:szCs w:val="24"/>
          <w:highlight w:val="none"/>
        </w:rPr>
      </w:pPr>
      <w:r>
        <w:rPr>
          <w:rStyle w:val="48"/>
          <w:rFonts w:hint="eastAsia" w:ascii="宋体" w:hAnsi="宋体" w:eastAsia="宋体" w:cs="宋体"/>
          <w:bCs w:val="0"/>
          <w:color w:val="auto"/>
          <w:kern w:val="0"/>
          <w:sz w:val="24"/>
          <w:szCs w:val="24"/>
          <w:highlight w:val="none"/>
          <w:lang w:val="en-US" w:eastAsia="zh-CN" w:bidi="ar"/>
        </w:rPr>
        <w:t>第八条</w:t>
      </w:r>
      <w:r>
        <w:rPr>
          <w:rFonts w:hint="eastAsia" w:ascii="宋体" w:hAnsi="宋体" w:eastAsia="宋体" w:cs="宋体"/>
          <w:b w:val="0"/>
          <w:bCs w:val="0"/>
          <w:color w:val="auto"/>
          <w:kern w:val="0"/>
          <w:sz w:val="24"/>
          <w:szCs w:val="24"/>
          <w:highlight w:val="none"/>
          <w:lang w:val="en-US" w:eastAsia="zh-CN" w:bidi="ar"/>
        </w:rPr>
        <w:t xml:space="preserve">  超过 200 万元的货物和服务采购项目、超过400 万元的工程采购项目中适宜由中小企业提供的，预留该部分采购项目预算总额的 30%以上专门面向中小企业采购，其中预留给小微企业的比例不低于 60%。预留份额通过下列措施进行：</w:t>
      </w:r>
    </w:p>
    <w:p w14:paraId="5A46ED11">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（一）将采购项目整体或者设置采购包专门面向中小企业采购；</w:t>
      </w:r>
    </w:p>
    <w:p w14:paraId="66D6D65C">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（二）要求供应商以联合体形式参加采购活动，且联合体中中小企业承担的部分达到一定比例；</w:t>
      </w:r>
    </w:p>
    <w:p w14:paraId="4C1FC7D4">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（三）要求获得采购合同的供应商将采购项目中的一定比例分包给一家或者多家中小企业。</w:t>
      </w:r>
    </w:p>
    <w:p w14:paraId="6D59E6FC">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组成联合体或者接受分包合同的中小企业与联合体内其他企业、分包企业之间不得存在直接控股、管理关系。</w:t>
      </w:r>
    </w:p>
    <w:p w14:paraId="5F0D4515">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2" w:firstLineChars="200"/>
        <w:jc w:val="left"/>
        <w:textAlignment w:val="auto"/>
        <w:rPr>
          <w:rFonts w:hint="eastAsia" w:ascii="宋体" w:hAnsi="宋体" w:eastAsia="宋体" w:cs="宋体"/>
          <w:color w:val="auto"/>
          <w:sz w:val="24"/>
          <w:szCs w:val="24"/>
          <w:highlight w:val="none"/>
        </w:rPr>
      </w:pPr>
      <w:r>
        <w:rPr>
          <w:rStyle w:val="48"/>
          <w:rFonts w:hint="eastAsia" w:ascii="宋体" w:hAnsi="宋体" w:eastAsia="宋体" w:cs="宋体"/>
          <w:bCs w:val="0"/>
          <w:color w:val="auto"/>
          <w:kern w:val="0"/>
          <w:sz w:val="24"/>
          <w:szCs w:val="24"/>
          <w:highlight w:val="none"/>
          <w:lang w:val="en-US" w:eastAsia="zh-CN" w:bidi="ar"/>
        </w:rPr>
        <w:t>第九条</w:t>
      </w:r>
      <w:r>
        <w:rPr>
          <w:rFonts w:hint="eastAsia" w:ascii="宋体" w:hAnsi="宋体" w:eastAsia="宋体" w:cs="宋体"/>
          <w:b w:val="0"/>
          <w:bCs w:val="0"/>
          <w:color w:val="auto"/>
          <w:kern w:val="0"/>
          <w:sz w:val="24"/>
          <w:szCs w:val="24"/>
          <w:highlight w:val="none"/>
          <w:lang w:val="en-US" w:eastAsia="zh-CN" w:bidi="ar"/>
        </w:rPr>
        <w:t xml:space="preserve">  对于经主管预算单位统筹后未预留份额专门面向中小企业采购的采购项目，以及预留份额项目中的非预留部分采购包，采购人、采购代理机构应当对符合本办法规定的小微企业报价给予 6%—10%（工程项目为 3%—5%）的扣除，用扣除后的价格参加评审。适用招标投标法的政府采购工程建设项目，采用综合评估法但未采用低价优先法计算价格分的，评标时应当在采用原报价进行评分的基础上增加其价格得分的 3%—5%作为其价格分。</w:t>
      </w:r>
    </w:p>
    <w:p w14:paraId="5B5BF258">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2%-3%（工程项目为 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14:paraId="43A1EE7D">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65D5848D">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2" w:firstLineChars="200"/>
        <w:jc w:val="left"/>
        <w:textAlignment w:val="auto"/>
        <w:rPr>
          <w:rFonts w:hint="eastAsia" w:ascii="宋体" w:hAnsi="宋体" w:eastAsia="宋体" w:cs="宋体"/>
          <w:color w:val="auto"/>
          <w:sz w:val="24"/>
          <w:szCs w:val="24"/>
          <w:highlight w:val="none"/>
        </w:rPr>
      </w:pPr>
      <w:r>
        <w:rPr>
          <w:rStyle w:val="48"/>
          <w:rFonts w:hint="eastAsia" w:ascii="宋体" w:hAnsi="宋体" w:eastAsia="宋体" w:cs="宋体"/>
          <w:bCs w:val="0"/>
          <w:color w:val="auto"/>
          <w:kern w:val="0"/>
          <w:sz w:val="24"/>
          <w:szCs w:val="24"/>
          <w:highlight w:val="none"/>
          <w:lang w:val="en-US" w:eastAsia="zh-CN" w:bidi="ar"/>
        </w:rPr>
        <w:t>第十条</w:t>
      </w:r>
      <w:r>
        <w:rPr>
          <w:rFonts w:hint="eastAsia" w:ascii="宋体" w:hAnsi="宋体" w:eastAsia="宋体" w:cs="宋体"/>
          <w:b w:val="0"/>
          <w:bCs w:val="0"/>
          <w:color w:val="auto"/>
          <w:kern w:val="0"/>
          <w:sz w:val="24"/>
          <w:szCs w:val="24"/>
          <w:highlight w:val="none"/>
          <w:lang w:val="en-US" w:eastAsia="zh-CN" w:bidi="ar"/>
        </w:rPr>
        <w:t xml:space="preserve">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01740709">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2" w:firstLineChars="200"/>
        <w:jc w:val="left"/>
        <w:textAlignment w:val="auto"/>
        <w:rPr>
          <w:rFonts w:hint="eastAsia" w:ascii="宋体" w:hAnsi="宋体" w:eastAsia="宋体" w:cs="宋体"/>
          <w:color w:val="auto"/>
          <w:sz w:val="24"/>
          <w:szCs w:val="24"/>
          <w:highlight w:val="none"/>
        </w:rPr>
      </w:pPr>
      <w:r>
        <w:rPr>
          <w:rStyle w:val="48"/>
          <w:rFonts w:hint="eastAsia" w:ascii="宋体" w:hAnsi="宋体" w:eastAsia="宋体" w:cs="宋体"/>
          <w:bCs w:val="0"/>
          <w:color w:val="auto"/>
          <w:kern w:val="0"/>
          <w:sz w:val="24"/>
          <w:szCs w:val="24"/>
          <w:highlight w:val="none"/>
          <w:lang w:val="en-US" w:eastAsia="zh-CN" w:bidi="ar"/>
        </w:rPr>
        <w:t>第十一条</w:t>
      </w:r>
      <w:r>
        <w:rPr>
          <w:rFonts w:hint="eastAsia" w:ascii="宋体" w:hAnsi="宋体" w:eastAsia="宋体" w:cs="宋体"/>
          <w:b w:val="0"/>
          <w:bCs w:val="0"/>
          <w:color w:val="auto"/>
          <w:kern w:val="0"/>
          <w:sz w:val="24"/>
          <w:szCs w:val="24"/>
          <w:highlight w:val="none"/>
          <w:lang w:val="en-US" w:eastAsia="zh-CN" w:bidi="ar"/>
        </w:rPr>
        <w:t xml:space="preserve">  中小企业参加政府采购活动，应当出具本办法规定的《中小企业声明函》（附 1），否则不得享受相关中小企业扶持政策。任何单位和个人不得要求供应商提供《中小企业声明函》之外的中小企业身份证明文件。</w:t>
      </w:r>
    </w:p>
    <w:p w14:paraId="544AC8B8">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2" w:firstLineChars="200"/>
        <w:jc w:val="left"/>
        <w:textAlignment w:val="auto"/>
        <w:rPr>
          <w:rFonts w:hint="eastAsia" w:ascii="宋体" w:hAnsi="宋体" w:eastAsia="宋体" w:cs="宋体"/>
          <w:color w:val="auto"/>
          <w:sz w:val="24"/>
          <w:szCs w:val="24"/>
          <w:highlight w:val="none"/>
        </w:rPr>
      </w:pPr>
      <w:r>
        <w:rPr>
          <w:rStyle w:val="48"/>
          <w:rFonts w:hint="eastAsia" w:ascii="宋体" w:hAnsi="宋体" w:eastAsia="宋体" w:cs="宋体"/>
          <w:bCs w:val="0"/>
          <w:color w:val="auto"/>
          <w:kern w:val="0"/>
          <w:sz w:val="24"/>
          <w:szCs w:val="24"/>
          <w:highlight w:val="none"/>
          <w:lang w:val="en-US" w:eastAsia="zh-CN" w:bidi="ar"/>
        </w:rPr>
        <w:t>第十二条</w:t>
      </w:r>
      <w:r>
        <w:rPr>
          <w:rFonts w:hint="eastAsia" w:ascii="宋体" w:hAnsi="宋体" w:eastAsia="宋体" w:cs="宋体"/>
          <w:b w:val="0"/>
          <w:bCs w:val="0"/>
          <w:color w:val="auto"/>
          <w:kern w:val="0"/>
          <w:sz w:val="24"/>
          <w:szCs w:val="24"/>
          <w:highlight w:val="none"/>
          <w:lang w:val="en-US" w:eastAsia="zh-CN" w:bidi="ar"/>
        </w:rPr>
        <w:t xml:space="preserve">  采购项目涉及中小企业采购的，采购文件应当明确以下内容：</w:t>
      </w:r>
    </w:p>
    <w:p w14:paraId="192F8E6A">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（一）预留份额的采购项目或者采购包，明确该项目或相关采购包专门面向中小企业采购，以及相关标的及预算金额；</w:t>
      </w:r>
    </w:p>
    <w:p w14:paraId="6FFDBC2C">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（二）要求以联合体形式参加或者合同分包的，明确联合协议或者分包意向协议中中小企业合同金额应当达到的比例，并作为供应商资格条件；</w:t>
      </w:r>
    </w:p>
    <w:p w14:paraId="6612D895">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（三）非预留份额的采购项目或者采购包，明确有关价格扣除比例或者价格分加分比例；</w:t>
      </w:r>
    </w:p>
    <w:p w14:paraId="1C4D4B99">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（四）规定依据本办法规定享受扶持政策获得政府采购合同的，小微企业不得将合同分包给大中型企业，中型企业不得将合同分包给大型企业；</w:t>
      </w:r>
    </w:p>
    <w:p w14:paraId="1A63D286">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（五）采购人认为具备相关条件的，明确对中小企业在资金支付期限、预付款比例等方面的优惠措施；</w:t>
      </w:r>
    </w:p>
    <w:p w14:paraId="56D1F637">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（六）明确采购标的对应的中小企业划分标准所属行业；</w:t>
      </w:r>
    </w:p>
    <w:p w14:paraId="57507D8C">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（七）法律法规和省级以上人民政府财政部门规定的其他事项。</w:t>
      </w:r>
    </w:p>
    <w:p w14:paraId="062FDAA7">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2" w:firstLineChars="200"/>
        <w:jc w:val="left"/>
        <w:textAlignment w:val="auto"/>
        <w:rPr>
          <w:rFonts w:hint="eastAsia" w:ascii="宋体" w:hAnsi="宋体" w:eastAsia="宋体" w:cs="宋体"/>
          <w:color w:val="auto"/>
          <w:sz w:val="24"/>
          <w:szCs w:val="24"/>
          <w:highlight w:val="none"/>
        </w:rPr>
      </w:pPr>
      <w:r>
        <w:rPr>
          <w:rStyle w:val="48"/>
          <w:rFonts w:hint="eastAsia" w:ascii="宋体" w:hAnsi="宋体" w:eastAsia="宋体" w:cs="宋体"/>
          <w:bCs w:val="0"/>
          <w:color w:val="auto"/>
          <w:kern w:val="0"/>
          <w:sz w:val="24"/>
          <w:szCs w:val="24"/>
          <w:highlight w:val="none"/>
          <w:lang w:val="en-US" w:eastAsia="zh-CN" w:bidi="ar"/>
        </w:rPr>
        <w:t>第十三条</w:t>
      </w:r>
      <w:r>
        <w:rPr>
          <w:rFonts w:hint="eastAsia" w:ascii="宋体" w:hAnsi="宋体" w:eastAsia="宋体" w:cs="宋体"/>
          <w:b w:val="0"/>
          <w:bCs w:val="0"/>
          <w:color w:val="auto"/>
          <w:kern w:val="0"/>
          <w:sz w:val="24"/>
          <w:szCs w:val="24"/>
          <w:highlight w:val="none"/>
          <w:lang w:val="en-US" w:eastAsia="zh-CN" w:bidi="ar"/>
        </w:rPr>
        <w:t xml:space="preserve">  中标、成交供应商享受本办法规定的中小企业扶持政策的，采购人、采购代理机构应当随中标、成交结果公开中标、成交供应商的《中小企业声明函》。</w:t>
      </w:r>
    </w:p>
    <w:p w14:paraId="21987B93">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适用招标投标法的政府采购工程建设项目，应当在公示中标候选人时公开中标候选人的《中小企业声明函》。</w:t>
      </w:r>
    </w:p>
    <w:p w14:paraId="48DF6368">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2" w:firstLineChars="200"/>
        <w:jc w:val="left"/>
        <w:textAlignment w:val="auto"/>
        <w:rPr>
          <w:rFonts w:hint="eastAsia" w:ascii="宋体" w:hAnsi="宋体" w:eastAsia="宋体" w:cs="宋体"/>
          <w:color w:val="auto"/>
          <w:sz w:val="24"/>
          <w:szCs w:val="24"/>
          <w:highlight w:val="none"/>
        </w:rPr>
      </w:pPr>
      <w:r>
        <w:rPr>
          <w:rStyle w:val="48"/>
          <w:rFonts w:hint="eastAsia" w:ascii="宋体" w:hAnsi="宋体" w:eastAsia="宋体" w:cs="宋体"/>
          <w:bCs w:val="0"/>
          <w:color w:val="auto"/>
          <w:kern w:val="0"/>
          <w:sz w:val="24"/>
          <w:szCs w:val="24"/>
          <w:highlight w:val="none"/>
          <w:lang w:val="en-US" w:eastAsia="zh-CN" w:bidi="ar"/>
        </w:rPr>
        <w:t>第十四条</w:t>
      </w:r>
      <w:r>
        <w:rPr>
          <w:rFonts w:hint="eastAsia" w:ascii="宋体" w:hAnsi="宋体" w:eastAsia="宋体" w:cs="宋体"/>
          <w:b w:val="0"/>
          <w:bCs w:val="0"/>
          <w:color w:val="auto"/>
          <w:kern w:val="0"/>
          <w:sz w:val="24"/>
          <w:szCs w:val="24"/>
          <w:highlight w:val="none"/>
          <w:lang w:val="en-US" w:eastAsia="zh-CN" w:bidi="ar"/>
        </w:rPr>
        <w:t xml:space="preserve">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249EFF5D">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2" w:firstLineChars="200"/>
        <w:jc w:val="left"/>
        <w:textAlignment w:val="auto"/>
        <w:rPr>
          <w:rFonts w:hint="eastAsia" w:ascii="宋体" w:hAnsi="宋体" w:eastAsia="宋体" w:cs="宋体"/>
          <w:color w:val="auto"/>
          <w:sz w:val="24"/>
          <w:szCs w:val="24"/>
          <w:highlight w:val="none"/>
        </w:rPr>
      </w:pPr>
      <w:r>
        <w:rPr>
          <w:rStyle w:val="48"/>
          <w:rFonts w:hint="eastAsia" w:ascii="宋体" w:hAnsi="宋体" w:eastAsia="宋体" w:cs="宋体"/>
          <w:bCs w:val="0"/>
          <w:color w:val="auto"/>
          <w:kern w:val="0"/>
          <w:sz w:val="24"/>
          <w:szCs w:val="24"/>
          <w:highlight w:val="none"/>
          <w:lang w:val="en-US" w:eastAsia="zh-CN" w:bidi="ar"/>
        </w:rPr>
        <w:t>第十五条</w:t>
      </w:r>
      <w:r>
        <w:rPr>
          <w:rFonts w:hint="eastAsia" w:ascii="宋体" w:hAnsi="宋体" w:eastAsia="宋体" w:cs="宋体"/>
          <w:b w:val="0"/>
          <w:bCs w:val="0"/>
          <w:color w:val="auto"/>
          <w:kern w:val="0"/>
          <w:sz w:val="24"/>
          <w:szCs w:val="24"/>
          <w:highlight w:val="none"/>
          <w:lang w:val="en-US" w:eastAsia="zh-CN" w:bidi="ar"/>
        </w:rPr>
        <w:t xml:space="preserve">  鼓励各地区、各部门在采购活动中允许中小企业引入信用担保手段，为中小企业在投标（响应）保证、履约保证等方面提供专业化服务。鼓励中小企业依法合规通过政府采购合同融资。</w:t>
      </w:r>
    </w:p>
    <w:p w14:paraId="19778A79">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2" w:firstLineChars="200"/>
        <w:jc w:val="left"/>
        <w:textAlignment w:val="auto"/>
        <w:rPr>
          <w:rFonts w:hint="eastAsia" w:ascii="宋体" w:hAnsi="宋体" w:eastAsia="宋体" w:cs="宋体"/>
          <w:color w:val="auto"/>
          <w:sz w:val="24"/>
          <w:szCs w:val="24"/>
          <w:highlight w:val="none"/>
        </w:rPr>
      </w:pPr>
      <w:r>
        <w:rPr>
          <w:rStyle w:val="48"/>
          <w:rFonts w:hint="eastAsia" w:ascii="宋体" w:hAnsi="宋体" w:eastAsia="宋体" w:cs="宋体"/>
          <w:bCs w:val="0"/>
          <w:color w:val="auto"/>
          <w:kern w:val="0"/>
          <w:sz w:val="24"/>
          <w:szCs w:val="24"/>
          <w:highlight w:val="none"/>
          <w:lang w:val="en-US" w:eastAsia="zh-CN" w:bidi="ar"/>
        </w:rPr>
        <w:t>第十六条</w:t>
      </w:r>
      <w:r>
        <w:rPr>
          <w:rFonts w:hint="eastAsia" w:ascii="宋体" w:hAnsi="宋体" w:eastAsia="宋体" w:cs="宋体"/>
          <w:b w:val="0"/>
          <w:bCs w:val="0"/>
          <w:color w:val="auto"/>
          <w:kern w:val="0"/>
          <w:sz w:val="24"/>
          <w:szCs w:val="24"/>
          <w:highlight w:val="none"/>
          <w:lang w:val="en-US" w:eastAsia="zh-CN" w:bidi="ar"/>
        </w:rPr>
        <w:t xml:space="preserve">  政府采购监督检查、投诉处理及政府采购行政处罚中对中小企业的认定，由货物制造商或者工程、服务供应商注册登记所在地的县级以上人民政府中小企业主管部门负责。</w:t>
      </w:r>
    </w:p>
    <w:p w14:paraId="403B67E5">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中小企业主管部门应当在收到财政部门或者有关招标投标行政监督部门关于协助开展中小企业认定函后 10 个工作日内做出书面答复。</w:t>
      </w:r>
    </w:p>
    <w:p w14:paraId="56CE1ED7">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2" w:firstLineChars="200"/>
        <w:jc w:val="left"/>
        <w:textAlignment w:val="auto"/>
        <w:rPr>
          <w:rFonts w:hint="eastAsia" w:ascii="宋体" w:hAnsi="宋体" w:eastAsia="宋体" w:cs="宋体"/>
          <w:color w:val="auto"/>
          <w:sz w:val="24"/>
          <w:szCs w:val="24"/>
          <w:highlight w:val="none"/>
        </w:rPr>
      </w:pPr>
      <w:r>
        <w:rPr>
          <w:rStyle w:val="48"/>
          <w:rFonts w:hint="eastAsia" w:ascii="宋体" w:hAnsi="宋体" w:eastAsia="宋体" w:cs="宋体"/>
          <w:bCs w:val="0"/>
          <w:color w:val="auto"/>
          <w:kern w:val="0"/>
          <w:sz w:val="24"/>
          <w:szCs w:val="24"/>
          <w:highlight w:val="none"/>
          <w:lang w:val="en-US" w:eastAsia="zh-CN" w:bidi="ar"/>
        </w:rPr>
        <w:t>第十七条</w:t>
      </w:r>
      <w:r>
        <w:rPr>
          <w:rFonts w:hint="eastAsia" w:ascii="宋体" w:hAnsi="宋体" w:eastAsia="宋体" w:cs="宋体"/>
          <w:b w:val="0"/>
          <w:bCs w:val="0"/>
          <w:color w:val="auto"/>
          <w:kern w:val="0"/>
          <w:sz w:val="24"/>
          <w:szCs w:val="24"/>
          <w:highlight w:val="none"/>
          <w:lang w:val="en-US" w:eastAsia="zh-CN" w:bidi="ar"/>
        </w:rPr>
        <w:t xml:space="preserve">  各地区、各部门应当对涉及中小企业采购的预算项目实施全过程绩效管理，合理设置绩效目标和指标，落实扶持中小企业有关政策要求，定期开展绩效监控和评价，强化绩效评价结果应用。</w:t>
      </w:r>
    </w:p>
    <w:p w14:paraId="251AFBC8">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2" w:firstLineChars="200"/>
        <w:jc w:val="left"/>
        <w:textAlignment w:val="auto"/>
        <w:rPr>
          <w:rFonts w:hint="eastAsia" w:ascii="宋体" w:hAnsi="宋体" w:eastAsia="宋体" w:cs="宋体"/>
          <w:color w:val="auto"/>
          <w:sz w:val="24"/>
          <w:szCs w:val="24"/>
          <w:highlight w:val="none"/>
        </w:rPr>
      </w:pPr>
      <w:r>
        <w:rPr>
          <w:rStyle w:val="48"/>
          <w:rFonts w:hint="eastAsia" w:ascii="宋体" w:hAnsi="宋体" w:eastAsia="宋体" w:cs="宋体"/>
          <w:bCs w:val="0"/>
          <w:color w:val="auto"/>
          <w:kern w:val="0"/>
          <w:sz w:val="24"/>
          <w:szCs w:val="24"/>
          <w:highlight w:val="none"/>
          <w:lang w:val="en-US" w:eastAsia="zh-CN" w:bidi="ar"/>
        </w:rPr>
        <w:t>第十八条</w:t>
      </w:r>
      <w:r>
        <w:rPr>
          <w:rFonts w:hint="eastAsia" w:ascii="宋体" w:hAnsi="宋体" w:eastAsia="宋体" w:cs="宋体"/>
          <w:b w:val="0"/>
          <w:bCs w:val="0"/>
          <w:color w:val="auto"/>
          <w:kern w:val="0"/>
          <w:sz w:val="24"/>
          <w:szCs w:val="24"/>
          <w:highlight w:val="none"/>
          <w:lang w:val="en-US" w:eastAsia="zh-CN" w:bidi="ar"/>
        </w:rPr>
        <w:t xml:space="preserve">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14:paraId="06041083">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2" w:firstLineChars="200"/>
        <w:jc w:val="left"/>
        <w:textAlignment w:val="auto"/>
        <w:rPr>
          <w:rFonts w:hint="eastAsia" w:ascii="宋体" w:hAnsi="宋体" w:eastAsia="宋体" w:cs="宋体"/>
          <w:color w:val="auto"/>
          <w:sz w:val="24"/>
          <w:szCs w:val="24"/>
          <w:highlight w:val="none"/>
        </w:rPr>
      </w:pPr>
      <w:r>
        <w:rPr>
          <w:rStyle w:val="48"/>
          <w:rFonts w:hint="eastAsia" w:ascii="宋体" w:hAnsi="宋体" w:eastAsia="宋体" w:cs="宋体"/>
          <w:bCs w:val="0"/>
          <w:color w:val="auto"/>
          <w:kern w:val="0"/>
          <w:sz w:val="24"/>
          <w:szCs w:val="24"/>
          <w:highlight w:val="none"/>
          <w:lang w:val="en-US" w:eastAsia="zh-CN" w:bidi="ar"/>
        </w:rPr>
        <w:t>第十九条</w:t>
      </w:r>
      <w:r>
        <w:rPr>
          <w:rFonts w:hint="eastAsia" w:ascii="宋体" w:hAnsi="宋体" w:eastAsia="宋体" w:cs="宋体"/>
          <w:b w:val="0"/>
          <w:bCs w:val="0"/>
          <w:color w:val="auto"/>
          <w:kern w:val="0"/>
          <w:sz w:val="24"/>
          <w:szCs w:val="24"/>
          <w:highlight w:val="none"/>
          <w:lang w:val="en-US" w:eastAsia="zh-CN" w:bidi="ar"/>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3329131D">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2" w:firstLineChars="200"/>
        <w:jc w:val="left"/>
        <w:textAlignment w:val="auto"/>
        <w:rPr>
          <w:rFonts w:hint="eastAsia" w:ascii="宋体" w:hAnsi="宋体" w:eastAsia="宋体" w:cs="宋体"/>
          <w:color w:val="auto"/>
          <w:sz w:val="24"/>
          <w:szCs w:val="24"/>
          <w:highlight w:val="none"/>
        </w:rPr>
      </w:pPr>
      <w:r>
        <w:rPr>
          <w:rStyle w:val="48"/>
          <w:rFonts w:hint="eastAsia" w:ascii="宋体" w:hAnsi="宋体" w:eastAsia="宋体" w:cs="宋体"/>
          <w:bCs w:val="0"/>
          <w:color w:val="auto"/>
          <w:kern w:val="0"/>
          <w:sz w:val="24"/>
          <w:szCs w:val="24"/>
          <w:highlight w:val="none"/>
          <w:lang w:val="en-US" w:eastAsia="zh-CN" w:bidi="ar"/>
        </w:rPr>
        <w:t>第二十条</w:t>
      </w:r>
      <w:r>
        <w:rPr>
          <w:rFonts w:hint="eastAsia" w:ascii="宋体" w:hAnsi="宋体" w:eastAsia="宋体" w:cs="宋体"/>
          <w:b w:val="0"/>
          <w:bCs w:val="0"/>
          <w:color w:val="auto"/>
          <w:kern w:val="0"/>
          <w:sz w:val="24"/>
          <w:szCs w:val="24"/>
          <w:highlight w:val="none"/>
          <w:lang w:val="en-US" w:eastAsia="zh-CN" w:bidi="ar"/>
        </w:rPr>
        <w:t xml:space="preserve">  供应商按照本办法规定提供声明函内容不实的，属于提供虚假材料谋取中标、成交，依照《中华人民共和国政府采购法》等国家有关规定追究相应责任。</w:t>
      </w:r>
    </w:p>
    <w:p w14:paraId="04C5DB88">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适用招标投标法的政府采购工程建设项目，</w:t>
      </w:r>
      <w:r>
        <w:rPr>
          <w:rFonts w:hint="eastAsia" w:ascii="宋体" w:hAnsi="宋体" w:cs="宋体"/>
          <w:b w:val="0"/>
          <w:bCs w:val="0"/>
          <w:color w:val="auto"/>
          <w:kern w:val="0"/>
          <w:sz w:val="24"/>
          <w:szCs w:val="24"/>
          <w:highlight w:val="none"/>
          <w:lang w:val="en-US" w:eastAsia="zh-CN" w:bidi="ar"/>
        </w:rPr>
        <w:t>供应商</w:t>
      </w:r>
      <w:r>
        <w:rPr>
          <w:rFonts w:hint="eastAsia" w:ascii="宋体" w:hAnsi="宋体" w:eastAsia="宋体" w:cs="宋体"/>
          <w:b w:val="0"/>
          <w:bCs w:val="0"/>
          <w:color w:val="auto"/>
          <w:kern w:val="0"/>
          <w:sz w:val="24"/>
          <w:szCs w:val="24"/>
          <w:highlight w:val="none"/>
          <w:lang w:val="en-US" w:eastAsia="zh-CN" w:bidi="ar"/>
        </w:rPr>
        <w:t>按照本办法规定提供声明函内容不实的，属于弄虚作假骗取中标，依照《中华人民共和国招标投标法》等国家有关规定追究相应责任。</w:t>
      </w:r>
    </w:p>
    <w:p w14:paraId="3095312D">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2" w:firstLineChars="200"/>
        <w:jc w:val="left"/>
        <w:textAlignment w:val="auto"/>
        <w:rPr>
          <w:rFonts w:hint="eastAsia" w:ascii="宋体" w:hAnsi="宋体" w:eastAsia="宋体" w:cs="宋体"/>
          <w:color w:val="auto"/>
          <w:sz w:val="24"/>
          <w:szCs w:val="24"/>
          <w:highlight w:val="none"/>
        </w:rPr>
      </w:pPr>
      <w:r>
        <w:rPr>
          <w:rStyle w:val="48"/>
          <w:rFonts w:hint="eastAsia" w:ascii="宋体" w:hAnsi="宋体" w:eastAsia="宋体" w:cs="宋体"/>
          <w:bCs w:val="0"/>
          <w:color w:val="auto"/>
          <w:kern w:val="0"/>
          <w:sz w:val="24"/>
          <w:szCs w:val="24"/>
          <w:highlight w:val="none"/>
          <w:lang w:val="en-US" w:eastAsia="zh-CN" w:bidi="ar"/>
        </w:rPr>
        <w:t>第二十一条</w:t>
      </w:r>
      <w:r>
        <w:rPr>
          <w:rFonts w:hint="eastAsia" w:ascii="宋体" w:hAnsi="宋体" w:eastAsia="宋体" w:cs="宋体"/>
          <w:b w:val="0"/>
          <w:bCs w:val="0"/>
          <w:color w:val="auto"/>
          <w:kern w:val="0"/>
          <w:sz w:val="24"/>
          <w:szCs w:val="24"/>
          <w:highlight w:val="none"/>
          <w:lang w:val="en-US" w:eastAsia="zh-CN" w:bidi="ar"/>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032ADB6F">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2" w:firstLineChars="200"/>
        <w:jc w:val="left"/>
        <w:textAlignment w:val="auto"/>
        <w:rPr>
          <w:rFonts w:hint="eastAsia" w:ascii="宋体" w:hAnsi="宋体" w:eastAsia="宋体" w:cs="宋体"/>
          <w:color w:val="auto"/>
          <w:sz w:val="24"/>
          <w:szCs w:val="24"/>
          <w:highlight w:val="none"/>
        </w:rPr>
      </w:pPr>
      <w:r>
        <w:rPr>
          <w:rStyle w:val="48"/>
          <w:rFonts w:hint="eastAsia" w:ascii="宋体" w:hAnsi="宋体" w:eastAsia="宋体" w:cs="宋体"/>
          <w:bCs w:val="0"/>
          <w:color w:val="auto"/>
          <w:kern w:val="0"/>
          <w:sz w:val="24"/>
          <w:szCs w:val="24"/>
          <w:highlight w:val="none"/>
          <w:lang w:val="en-US" w:eastAsia="zh-CN" w:bidi="ar"/>
        </w:rPr>
        <w:t>第二十二条</w:t>
      </w:r>
      <w:r>
        <w:rPr>
          <w:rFonts w:hint="eastAsia" w:ascii="宋体" w:hAnsi="宋体" w:eastAsia="宋体" w:cs="宋体"/>
          <w:b w:val="0"/>
          <w:bCs w:val="0"/>
          <w:color w:val="auto"/>
          <w:kern w:val="0"/>
          <w:sz w:val="24"/>
          <w:szCs w:val="24"/>
          <w:highlight w:val="none"/>
          <w:lang w:val="en-US" w:eastAsia="zh-CN" w:bidi="ar"/>
        </w:rPr>
        <w:t xml:space="preserve">  对外援助项目、国家相关资格或者资质管理制度另有规定的项目，不适用本办法。</w:t>
      </w:r>
    </w:p>
    <w:p w14:paraId="0A6013F3">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2" w:firstLineChars="200"/>
        <w:jc w:val="left"/>
        <w:textAlignment w:val="auto"/>
        <w:rPr>
          <w:rFonts w:hint="eastAsia" w:ascii="宋体" w:hAnsi="宋体" w:eastAsia="宋体" w:cs="宋体"/>
          <w:color w:val="auto"/>
          <w:sz w:val="24"/>
          <w:szCs w:val="24"/>
          <w:highlight w:val="none"/>
        </w:rPr>
      </w:pPr>
      <w:r>
        <w:rPr>
          <w:rStyle w:val="48"/>
          <w:rFonts w:hint="eastAsia" w:ascii="宋体" w:hAnsi="宋体" w:eastAsia="宋体" w:cs="宋体"/>
          <w:bCs w:val="0"/>
          <w:color w:val="auto"/>
          <w:kern w:val="0"/>
          <w:sz w:val="24"/>
          <w:szCs w:val="24"/>
          <w:highlight w:val="none"/>
          <w:lang w:val="en-US" w:eastAsia="zh-CN" w:bidi="ar"/>
        </w:rPr>
        <w:t>第二十三条</w:t>
      </w:r>
      <w:r>
        <w:rPr>
          <w:rFonts w:hint="eastAsia" w:ascii="宋体" w:hAnsi="宋体" w:eastAsia="宋体" w:cs="宋体"/>
          <w:b w:val="0"/>
          <w:bCs w:val="0"/>
          <w:color w:val="auto"/>
          <w:kern w:val="0"/>
          <w:sz w:val="24"/>
          <w:szCs w:val="24"/>
          <w:highlight w:val="none"/>
          <w:lang w:val="en-US" w:eastAsia="zh-CN" w:bidi="ar"/>
        </w:rPr>
        <w:t xml:space="preserve">  关于视同中小企业的其他主体的政府采购扶持政策，由财政部会同有关部门另行规定。</w:t>
      </w:r>
    </w:p>
    <w:p w14:paraId="1CE8CDF2">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2" w:firstLineChars="200"/>
        <w:jc w:val="left"/>
        <w:textAlignment w:val="auto"/>
        <w:rPr>
          <w:rFonts w:hint="eastAsia" w:ascii="宋体" w:hAnsi="宋体" w:eastAsia="宋体" w:cs="宋体"/>
          <w:color w:val="auto"/>
          <w:sz w:val="24"/>
          <w:szCs w:val="24"/>
          <w:highlight w:val="none"/>
        </w:rPr>
      </w:pPr>
      <w:r>
        <w:rPr>
          <w:rStyle w:val="48"/>
          <w:rFonts w:hint="eastAsia" w:ascii="宋体" w:hAnsi="宋体" w:eastAsia="宋体" w:cs="宋体"/>
          <w:bCs w:val="0"/>
          <w:color w:val="auto"/>
          <w:kern w:val="0"/>
          <w:sz w:val="24"/>
          <w:szCs w:val="24"/>
          <w:highlight w:val="none"/>
          <w:lang w:val="en-US" w:eastAsia="zh-CN" w:bidi="ar"/>
        </w:rPr>
        <w:t>第二十四条</w:t>
      </w:r>
      <w:r>
        <w:rPr>
          <w:rFonts w:hint="eastAsia" w:ascii="宋体" w:hAnsi="宋体" w:eastAsia="宋体" w:cs="宋体"/>
          <w:b w:val="0"/>
          <w:bCs w:val="0"/>
          <w:color w:val="auto"/>
          <w:kern w:val="0"/>
          <w:sz w:val="24"/>
          <w:szCs w:val="24"/>
          <w:highlight w:val="none"/>
          <w:lang w:val="en-US" w:eastAsia="zh-CN" w:bidi="ar"/>
        </w:rPr>
        <w:t xml:space="preserve">  省级财政部门可以会同中小企业主管部门根据本办法的规定制定具体实施办法。</w:t>
      </w:r>
    </w:p>
    <w:p w14:paraId="4126A805">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firstLine="482" w:firstLineChars="200"/>
        <w:jc w:val="left"/>
        <w:textAlignment w:val="auto"/>
        <w:rPr>
          <w:rFonts w:hint="eastAsia" w:ascii="宋体" w:hAnsi="宋体" w:eastAsia="宋体" w:cs="宋体"/>
          <w:color w:val="auto"/>
          <w:sz w:val="24"/>
          <w:szCs w:val="24"/>
          <w:highlight w:val="none"/>
        </w:rPr>
      </w:pPr>
      <w:r>
        <w:rPr>
          <w:rStyle w:val="48"/>
          <w:rFonts w:hint="eastAsia" w:ascii="宋体" w:hAnsi="宋体" w:eastAsia="宋体" w:cs="宋体"/>
          <w:bCs w:val="0"/>
          <w:color w:val="auto"/>
          <w:kern w:val="0"/>
          <w:sz w:val="24"/>
          <w:szCs w:val="24"/>
          <w:highlight w:val="none"/>
          <w:lang w:val="en-US" w:eastAsia="zh-CN" w:bidi="ar"/>
        </w:rPr>
        <w:t>第二十五条</w:t>
      </w:r>
      <w:r>
        <w:rPr>
          <w:rFonts w:hint="eastAsia" w:ascii="宋体" w:hAnsi="宋体" w:eastAsia="宋体" w:cs="宋体"/>
          <w:b w:val="0"/>
          <w:bCs w:val="0"/>
          <w:color w:val="auto"/>
          <w:kern w:val="0"/>
          <w:sz w:val="24"/>
          <w:szCs w:val="24"/>
          <w:highlight w:val="none"/>
          <w:lang w:val="en-US" w:eastAsia="zh-CN" w:bidi="ar"/>
        </w:rPr>
        <w:t xml:space="preserve">  本办法自 2021 年 1 月 1 日起施行。 财政部 工业和信息化部关于印发〈政府采购促进中小企业发展暂行办法〉的通知》（财库﹝2011﹞181 号）同时废止。</w:t>
      </w:r>
    </w:p>
    <w:p w14:paraId="315679C1">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8" w:lineRule="auto"/>
        <w:ind w:left="0" w:right="0"/>
        <w:jc w:val="left"/>
        <w:textAlignment w:val="auto"/>
        <w:rPr>
          <w:rFonts w:hint="eastAsia" w:ascii="宋体" w:hAnsi="宋体" w:eastAsia="宋体" w:cs="宋体"/>
          <w:b/>
          <w:bCs/>
          <w:i w:val="0"/>
          <w:iCs w:val="0"/>
          <w:caps w:val="0"/>
          <w:color w:val="auto"/>
          <w:spacing w:val="0"/>
          <w:sz w:val="30"/>
          <w:szCs w:val="30"/>
          <w:highlight w:val="none"/>
        </w:rPr>
      </w:pPr>
      <w:r>
        <w:rPr>
          <w:rFonts w:hint="eastAsia" w:ascii="宋体" w:hAnsi="宋体" w:eastAsia="宋体" w:cs="宋体"/>
          <w:b w:val="0"/>
          <w:bCs w:val="0"/>
          <w:color w:val="auto"/>
          <w:kern w:val="0"/>
          <w:sz w:val="24"/>
          <w:szCs w:val="24"/>
          <w:highlight w:val="none"/>
          <w:lang w:val="en-US" w:eastAsia="zh-CN" w:bidi="ar"/>
        </w:rPr>
        <w:t> </w:t>
      </w:r>
      <w:r>
        <w:rPr>
          <w:rFonts w:hint="eastAsia" w:ascii="宋体" w:hAnsi="宋体" w:eastAsia="宋体" w:cs="宋体"/>
          <w:b/>
          <w:bCs/>
          <w:i w:val="0"/>
          <w:iCs w:val="0"/>
          <w:caps w:val="0"/>
          <w:color w:val="auto"/>
          <w:spacing w:val="0"/>
          <w:kern w:val="0"/>
          <w:sz w:val="30"/>
          <w:szCs w:val="30"/>
          <w:highlight w:val="none"/>
          <w:shd w:val="clear" w:color="auto" w:fill="FFFFFF"/>
          <w:lang w:val="en-US" w:eastAsia="zh-CN" w:bidi="ar"/>
        </w:rPr>
        <w:t>财政部关于进一步加大政府采购支持中小企业力度的通知</w:t>
      </w:r>
    </w:p>
    <w:p w14:paraId="13BA697B">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400" w:lineRule="exact"/>
        <w:ind w:left="0" w:right="0" w:firstLine="0"/>
        <w:jc w:val="center"/>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（财库〔2022〕19号）</w:t>
      </w:r>
    </w:p>
    <w:p w14:paraId="6FCC0806">
      <w:pPr>
        <w:pStyle w:val="3"/>
        <w:spacing w:after="0" w:line="340" w:lineRule="exact"/>
        <w:ind w:firstLine="480" w:firstLineChars="200"/>
        <w:rPr>
          <w:rFonts w:hint="eastAsia" w:ascii="宋体" w:hAnsi="宋体" w:cs="宋体"/>
          <w:bCs/>
          <w:color w:val="auto"/>
          <w:sz w:val="21"/>
          <w:szCs w:val="21"/>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 </w:t>
      </w:r>
      <w:r>
        <w:rPr>
          <w:rFonts w:hint="eastAsia" w:ascii="宋体" w:hAnsi="宋体" w:cs="宋体"/>
          <w:bCs/>
          <w:color w:val="auto"/>
          <w:sz w:val="21"/>
          <w:szCs w:val="21"/>
          <w:highlight w:val="none"/>
          <w:lang w:val="en-US" w:eastAsia="zh-CN"/>
        </w:rPr>
        <w:t>各中央预算单位，各省、自治区、直辖市、计划单列市财政厅（局），新疆生产建设兵团财政局：</w:t>
      </w:r>
    </w:p>
    <w:p w14:paraId="7220751F">
      <w:pPr>
        <w:pStyle w:val="3"/>
        <w:spacing w:after="0" w:line="340" w:lineRule="exact"/>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lang w:val="en-US" w:eastAsia="zh-CN"/>
        </w:rPr>
        <w:t>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611307EA">
      <w:pPr>
        <w:pStyle w:val="3"/>
        <w:spacing w:after="0" w:line="340" w:lineRule="exact"/>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lang w:val="en-US" w:eastAsia="zh-CN"/>
        </w:rPr>
        <w:t>一、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41B1D5FF">
      <w:pPr>
        <w:pStyle w:val="3"/>
        <w:spacing w:after="0" w:line="340" w:lineRule="exact"/>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lang w:val="en-US" w:eastAsia="zh-CN"/>
        </w:rPr>
        <w:t>二、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11E88264">
      <w:pPr>
        <w:pStyle w:val="3"/>
        <w:spacing w:after="0" w:line="340" w:lineRule="exact"/>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lang w:val="en-US" w:eastAsia="zh-CN"/>
        </w:rPr>
        <w:t>三、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5FBFD4EC">
      <w:pPr>
        <w:pStyle w:val="3"/>
        <w:spacing w:after="0" w:line="340" w:lineRule="exact"/>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lang w:val="en-US" w:eastAsia="zh-CN"/>
        </w:rPr>
        <w:t>四、认真做好组织实施。各地区、各部门应当加强组织领导，明确工作责任，细化执行要求，强化监督检查，确保国务院部署落实到位，对通知执行中出现的问题要及时向财政部报告。</w:t>
      </w:r>
    </w:p>
    <w:p w14:paraId="11F20B5E">
      <w:pPr>
        <w:pStyle w:val="3"/>
        <w:spacing w:after="0" w:line="340" w:lineRule="exact"/>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lang w:val="en-US" w:eastAsia="zh-CN"/>
        </w:rPr>
        <w:t>本通知自2022年7月1日起执行。</w:t>
      </w:r>
    </w:p>
    <w:p w14:paraId="18BEDFD0">
      <w:pPr>
        <w:pStyle w:val="3"/>
        <w:spacing w:after="0" w:line="340" w:lineRule="exact"/>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lang w:val="en-US" w:eastAsia="zh-CN"/>
        </w:rPr>
        <w:t xml:space="preserve">                                                                        财政部</w:t>
      </w:r>
    </w:p>
    <w:p w14:paraId="659F4A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黑体" w:hAnsi="黑体" w:eastAsia="黑体" w:cs="宋体"/>
          <w:bCs/>
          <w:color w:val="auto"/>
          <w:sz w:val="28"/>
          <w:szCs w:val="28"/>
          <w:highlight w:val="none"/>
          <w:shd w:val="clear" w:color="auto" w:fill="FFFFFF"/>
        </w:rPr>
      </w:pPr>
      <w:r>
        <w:rPr>
          <w:rFonts w:hint="eastAsia" w:ascii="宋体" w:hAnsi="宋体" w:cs="宋体"/>
          <w:bCs/>
          <w:color w:val="auto"/>
          <w:sz w:val="21"/>
          <w:szCs w:val="21"/>
          <w:highlight w:val="none"/>
          <w:lang w:val="en-US" w:eastAsia="zh-CN"/>
        </w:rPr>
        <w:t>2022年5月30日</w:t>
      </w:r>
      <w:r>
        <w:rPr>
          <w:rFonts w:hint="eastAsia" w:ascii="宋体" w:hAnsi="宋体" w:eastAsia="宋体" w:cs="宋体"/>
          <w:b/>
          <w:bCs/>
          <w:color w:val="auto"/>
          <w:sz w:val="21"/>
          <w:szCs w:val="21"/>
          <w:highlight w:val="none"/>
        </w:rPr>
        <w:br w:type="page"/>
      </w:r>
      <w:r>
        <w:rPr>
          <w:rFonts w:hint="eastAsia" w:ascii="黑体" w:hAnsi="黑体" w:eastAsia="黑体" w:cs="宋体"/>
          <w:bCs/>
          <w:color w:val="auto"/>
          <w:sz w:val="28"/>
          <w:szCs w:val="28"/>
          <w:highlight w:val="none"/>
          <w:shd w:val="clear" w:color="auto" w:fill="FFFFFF"/>
          <w:lang w:val="en-US" w:eastAsia="zh-CN"/>
        </w:rPr>
        <w:t>关于印发《吉林省强化政府采购政策支持中小企业发展落实举措》的通知</w:t>
      </w:r>
    </w:p>
    <w:p w14:paraId="6E43E13C">
      <w:pPr>
        <w:pStyle w:val="39"/>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400" w:lineRule="exact"/>
        <w:ind w:left="0" w:right="0"/>
        <w:jc w:val="center"/>
        <w:textAlignment w:val="auto"/>
        <w:rPr>
          <w:color w:val="auto"/>
          <w:sz w:val="24"/>
          <w:szCs w:val="24"/>
          <w:highlight w:val="none"/>
        </w:rPr>
      </w:pPr>
      <w:r>
        <w:rPr>
          <w:rFonts w:ascii="宋体" w:hAnsi="宋体" w:eastAsia="宋体" w:cs="宋体"/>
          <w:color w:val="auto"/>
          <w:sz w:val="24"/>
          <w:szCs w:val="24"/>
          <w:highlight w:val="none"/>
        </w:rPr>
        <w:t>吉财采购〔2022〕478号</w:t>
      </w:r>
      <w:r>
        <w:rPr>
          <w:color w:val="auto"/>
          <w:sz w:val="24"/>
          <w:szCs w:val="24"/>
          <w:highlight w:val="none"/>
        </w:rPr>
        <w:t xml:space="preserve"> </w:t>
      </w:r>
    </w:p>
    <w:p w14:paraId="6080B0E5">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color w:val="auto"/>
          <w:sz w:val="24"/>
          <w:szCs w:val="24"/>
          <w:highlight w:val="none"/>
        </w:rPr>
      </w:pPr>
      <w:r>
        <w:rPr>
          <w:rFonts w:hint="eastAsia" w:ascii="宋体" w:hAnsi="宋体" w:eastAsia="宋体" w:cs="宋体"/>
          <w:color w:val="auto"/>
          <w:sz w:val="24"/>
          <w:szCs w:val="24"/>
          <w:highlight w:val="none"/>
        </w:rPr>
        <w:t>各省级主管预算单位，各市（州）、县（市、区）财政局，长白山管委会、长春新区、中韩（长春）国际合作示范区管委会财政局，各政府采购代理机构：</w:t>
      </w:r>
      <w:r>
        <w:rPr>
          <w:color w:val="auto"/>
          <w:sz w:val="24"/>
          <w:szCs w:val="24"/>
          <w:highlight w:val="none"/>
        </w:rPr>
        <w:t xml:space="preserve"> </w:t>
      </w:r>
    </w:p>
    <w:p w14:paraId="27D36F05">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color w:val="auto"/>
          <w:sz w:val="24"/>
          <w:szCs w:val="24"/>
          <w:highlight w:val="none"/>
        </w:rPr>
      </w:pPr>
      <w:r>
        <w:rPr>
          <w:rFonts w:hint="eastAsia" w:ascii="宋体" w:hAnsi="宋体" w:eastAsia="宋体" w:cs="宋体"/>
          <w:color w:val="auto"/>
          <w:sz w:val="24"/>
          <w:szCs w:val="24"/>
          <w:highlight w:val="none"/>
        </w:rPr>
        <w:t>现将《吉林省强化政府采购政策支持中小企业发展落实举措》印发给你们，请遵照执行。</w:t>
      </w:r>
      <w:r>
        <w:rPr>
          <w:color w:val="auto"/>
          <w:sz w:val="24"/>
          <w:szCs w:val="24"/>
          <w:highlight w:val="none"/>
        </w:rPr>
        <w:t xml:space="preserve"> </w:t>
      </w:r>
    </w:p>
    <w:p w14:paraId="72B81D2B">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color w:val="auto"/>
          <w:sz w:val="24"/>
          <w:szCs w:val="24"/>
          <w:highlight w:val="none"/>
        </w:rPr>
      </w:pPr>
      <w:r>
        <w:rPr>
          <w:rFonts w:hint="eastAsia" w:ascii="宋体" w:hAnsi="宋体" w:eastAsia="宋体" w:cs="宋体"/>
          <w:color w:val="auto"/>
          <w:sz w:val="24"/>
          <w:szCs w:val="24"/>
          <w:highlight w:val="none"/>
        </w:rPr>
        <w:t>附件：吉林省强化政府采购政策支持中小企业发展落实举措</w:t>
      </w:r>
      <w:r>
        <w:rPr>
          <w:color w:val="auto"/>
          <w:sz w:val="24"/>
          <w:szCs w:val="24"/>
          <w:highlight w:val="none"/>
        </w:rPr>
        <w:t xml:space="preserve"> </w:t>
      </w:r>
    </w:p>
    <w:p w14:paraId="1F4E9EAF">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5"/>
        <w:jc w:val="right"/>
        <w:textAlignment w:val="auto"/>
        <w:rPr>
          <w:color w:val="auto"/>
          <w:sz w:val="24"/>
          <w:szCs w:val="24"/>
          <w:highlight w:val="none"/>
        </w:rPr>
      </w:pPr>
      <w:r>
        <w:rPr>
          <w:rFonts w:hint="eastAsia" w:ascii="宋体" w:hAnsi="宋体" w:eastAsia="宋体" w:cs="宋体"/>
          <w:color w:val="auto"/>
          <w:sz w:val="24"/>
          <w:szCs w:val="24"/>
          <w:highlight w:val="none"/>
        </w:rPr>
        <w:t>吉林省财政厅</w:t>
      </w:r>
      <w:r>
        <w:rPr>
          <w:color w:val="auto"/>
          <w:sz w:val="24"/>
          <w:szCs w:val="24"/>
          <w:highlight w:val="none"/>
        </w:rPr>
        <w:t xml:space="preserve"> </w:t>
      </w:r>
    </w:p>
    <w:p w14:paraId="574275DF">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5"/>
        <w:jc w:val="right"/>
        <w:textAlignment w:val="auto"/>
        <w:rPr>
          <w:color w:val="auto"/>
          <w:sz w:val="24"/>
          <w:szCs w:val="24"/>
          <w:highlight w:val="none"/>
        </w:rPr>
      </w:pPr>
      <w:r>
        <w:rPr>
          <w:rFonts w:ascii="宋体" w:hAnsi="宋体" w:eastAsia="宋体" w:cs="宋体"/>
          <w:color w:val="auto"/>
          <w:sz w:val="24"/>
          <w:szCs w:val="24"/>
          <w:highlight w:val="none"/>
        </w:rPr>
        <w:t>2022年6月6日</w:t>
      </w:r>
      <w:r>
        <w:rPr>
          <w:color w:val="auto"/>
          <w:sz w:val="24"/>
          <w:szCs w:val="24"/>
          <w:highlight w:val="none"/>
        </w:rPr>
        <w:t xml:space="preserve"> </w:t>
      </w:r>
    </w:p>
    <w:p w14:paraId="2D8706CA">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textAlignment w:val="auto"/>
        <w:rPr>
          <w:color w:val="auto"/>
          <w:sz w:val="24"/>
          <w:szCs w:val="24"/>
          <w:highlight w:val="none"/>
        </w:rPr>
      </w:pPr>
      <w:r>
        <w:rPr>
          <w:rFonts w:hint="eastAsia" w:ascii="宋体" w:hAnsi="宋体" w:eastAsia="宋体" w:cs="宋体"/>
          <w:color w:val="auto"/>
          <w:sz w:val="24"/>
          <w:szCs w:val="24"/>
          <w:highlight w:val="none"/>
        </w:rPr>
        <w:t>附件：</w:t>
      </w:r>
      <w:r>
        <w:rPr>
          <w:color w:val="auto"/>
          <w:sz w:val="24"/>
          <w:szCs w:val="24"/>
          <w:highlight w:val="none"/>
        </w:rPr>
        <w:t xml:space="preserve"> </w:t>
      </w:r>
    </w:p>
    <w:p w14:paraId="3A93AA7D">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5"/>
        <w:textAlignment w:val="auto"/>
        <w:rPr>
          <w:color w:val="auto"/>
          <w:sz w:val="24"/>
          <w:szCs w:val="24"/>
          <w:highlight w:val="none"/>
        </w:rPr>
      </w:pPr>
      <w:r>
        <w:rPr>
          <w:rFonts w:hint="eastAsia" w:ascii="宋体" w:hAnsi="宋体" w:eastAsia="宋体" w:cs="宋体"/>
          <w:color w:val="auto"/>
          <w:sz w:val="24"/>
          <w:szCs w:val="24"/>
          <w:highlight w:val="none"/>
        </w:rPr>
        <w:t> </w:t>
      </w:r>
      <w:r>
        <w:rPr>
          <w:color w:val="auto"/>
          <w:sz w:val="24"/>
          <w:szCs w:val="24"/>
          <w:highlight w:val="none"/>
        </w:rPr>
        <w:t xml:space="preserve"> </w:t>
      </w:r>
    </w:p>
    <w:p w14:paraId="6A709932">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sz w:val="28"/>
          <w:szCs w:val="28"/>
          <w:highlight w:val="none"/>
        </w:rPr>
      </w:pPr>
      <w:r>
        <w:rPr>
          <w:rFonts w:hint="eastAsia" w:ascii="宋体" w:hAnsi="宋体" w:eastAsia="宋体" w:cs="宋体"/>
          <w:color w:val="auto"/>
          <w:sz w:val="28"/>
          <w:szCs w:val="28"/>
          <w:highlight w:val="none"/>
        </w:rPr>
        <w:t>吉林省强化政府采购政策支持中小企业发展落实举措</w:t>
      </w:r>
      <w:r>
        <w:rPr>
          <w:color w:val="auto"/>
          <w:sz w:val="28"/>
          <w:szCs w:val="28"/>
          <w:highlight w:val="none"/>
        </w:rPr>
        <w:t xml:space="preserve"> </w:t>
      </w:r>
    </w:p>
    <w:p w14:paraId="7641C099">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5"/>
        <w:textAlignment w:val="auto"/>
        <w:rPr>
          <w:color w:val="auto"/>
          <w:sz w:val="24"/>
          <w:szCs w:val="24"/>
          <w:highlight w:val="none"/>
        </w:rPr>
      </w:pPr>
      <w:r>
        <w:rPr>
          <w:rFonts w:hint="eastAsia" w:ascii="宋体" w:hAnsi="宋体" w:eastAsia="宋体" w:cs="宋体"/>
          <w:color w:val="auto"/>
          <w:sz w:val="24"/>
          <w:szCs w:val="24"/>
          <w:highlight w:val="none"/>
        </w:rPr>
        <w:t> </w:t>
      </w:r>
      <w:r>
        <w:rPr>
          <w:color w:val="auto"/>
          <w:sz w:val="24"/>
          <w:szCs w:val="24"/>
          <w:highlight w:val="none"/>
        </w:rPr>
        <w:t xml:space="preserve"> </w:t>
      </w:r>
    </w:p>
    <w:p w14:paraId="71A2AB3B">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5"/>
        <w:textAlignment w:val="auto"/>
        <w:rPr>
          <w:color w:val="auto"/>
          <w:sz w:val="21"/>
          <w:szCs w:val="21"/>
          <w:highlight w:val="none"/>
        </w:rPr>
      </w:pPr>
      <w:r>
        <w:rPr>
          <w:rFonts w:ascii="宋体" w:hAnsi="宋体" w:eastAsia="宋体" w:cs="宋体"/>
          <w:color w:val="auto"/>
          <w:sz w:val="21"/>
          <w:szCs w:val="21"/>
          <w:highlight w:val="none"/>
        </w:rPr>
        <w:t>为贯彻落实《国务院关于印发扎实稳住经济一揽子政策措施的通知》（国发〔2022〕12号）和省政府《稳定全省经济若干措施》要求，积极应对突发疫情对我省经济社会影响，做好财政政策支持中小企业纾困解难工作，助力全省经济平稳健康发展，按照财政部《关于进一步加大政府采购支持中小企业力度的通知》（财库〔2022〕19号）规定，提出如下落实措施：</w:t>
      </w:r>
      <w:r>
        <w:rPr>
          <w:color w:val="auto"/>
          <w:sz w:val="21"/>
          <w:szCs w:val="21"/>
          <w:highlight w:val="none"/>
        </w:rPr>
        <w:t xml:space="preserve"> </w:t>
      </w:r>
    </w:p>
    <w:p w14:paraId="44D6D8A6">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5"/>
        <w:textAlignment w:val="auto"/>
        <w:rPr>
          <w:b/>
          <w:bCs/>
          <w:color w:val="auto"/>
          <w:sz w:val="21"/>
          <w:szCs w:val="21"/>
          <w:highlight w:val="none"/>
        </w:rPr>
      </w:pPr>
      <w:r>
        <w:rPr>
          <w:rFonts w:hint="eastAsia" w:ascii="宋体" w:hAnsi="宋体" w:eastAsia="宋体" w:cs="宋体"/>
          <w:b/>
          <w:bCs/>
          <w:color w:val="auto"/>
          <w:sz w:val="21"/>
          <w:szCs w:val="21"/>
          <w:highlight w:val="none"/>
        </w:rPr>
        <w:t>一、强化政策落实支持中小企业发展</w:t>
      </w:r>
      <w:r>
        <w:rPr>
          <w:b/>
          <w:bCs/>
          <w:color w:val="auto"/>
          <w:sz w:val="21"/>
          <w:szCs w:val="21"/>
          <w:highlight w:val="none"/>
        </w:rPr>
        <w:t xml:space="preserve"> </w:t>
      </w:r>
    </w:p>
    <w:p w14:paraId="654040F8">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5"/>
        <w:textAlignment w:val="auto"/>
        <w:rPr>
          <w:color w:val="auto"/>
          <w:sz w:val="21"/>
          <w:szCs w:val="21"/>
          <w:highlight w:val="none"/>
        </w:rPr>
      </w:pPr>
      <w:r>
        <w:rPr>
          <w:rFonts w:ascii="宋体" w:hAnsi="宋体" w:eastAsia="宋体" w:cs="宋体"/>
          <w:color w:val="auto"/>
          <w:sz w:val="21"/>
          <w:szCs w:val="21"/>
          <w:highlight w:val="none"/>
        </w:rPr>
        <w:t>各级预算单位要认真落实《政府采购促进中小企业发展管理办法》（财库〔2020〕46号，以下简称《办法》）的规定，加强采购需求管理，规范资格条件设置，降低中小企业参加政府采购活动门槛 。科学编制政府采购预算，提高中小企业预留份额。结合采购项目的实际情况，灵活采取项目整体预留、合理预留采购包、要求大企业与中小企业组成联合体或向中小企业分包等形式，确保中小企业合同份额。适用招标投标法的政府采购工程项目应严格落实政府采购支持中小企业政策。</w:t>
      </w:r>
      <w:r>
        <w:rPr>
          <w:color w:val="auto"/>
          <w:sz w:val="21"/>
          <w:szCs w:val="21"/>
          <w:highlight w:val="none"/>
        </w:rPr>
        <w:t xml:space="preserve"> </w:t>
      </w:r>
    </w:p>
    <w:p w14:paraId="3C5506CD">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5"/>
        <w:textAlignment w:val="auto"/>
        <w:rPr>
          <w:b/>
          <w:bCs/>
          <w:color w:val="auto"/>
          <w:sz w:val="21"/>
          <w:szCs w:val="21"/>
          <w:highlight w:val="none"/>
        </w:rPr>
      </w:pPr>
      <w:r>
        <w:rPr>
          <w:rFonts w:hint="eastAsia" w:ascii="宋体" w:hAnsi="宋体" w:eastAsia="宋体" w:cs="宋体"/>
          <w:b/>
          <w:bCs/>
          <w:color w:val="auto"/>
          <w:sz w:val="21"/>
          <w:szCs w:val="21"/>
          <w:highlight w:val="none"/>
        </w:rPr>
        <w:t>二、提高政府采购项目价格评审优惠幅度</w:t>
      </w:r>
      <w:r>
        <w:rPr>
          <w:b/>
          <w:bCs/>
          <w:color w:val="auto"/>
          <w:sz w:val="21"/>
          <w:szCs w:val="21"/>
          <w:highlight w:val="none"/>
        </w:rPr>
        <w:t xml:space="preserve"> </w:t>
      </w:r>
    </w:p>
    <w:p w14:paraId="45FDDCF4">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5"/>
        <w:textAlignment w:val="auto"/>
        <w:rPr>
          <w:color w:val="auto"/>
          <w:sz w:val="21"/>
          <w:szCs w:val="21"/>
          <w:highlight w:val="none"/>
        </w:rPr>
      </w:pPr>
      <w:r>
        <w:rPr>
          <w:rFonts w:ascii="宋体" w:hAnsi="宋体" w:eastAsia="宋体" w:cs="宋体"/>
          <w:color w:val="auto"/>
          <w:sz w:val="21"/>
          <w:szCs w:val="21"/>
          <w:highlight w:val="none"/>
        </w:rPr>
        <w:t>自2022年7月1日起发布采购公告或者发出采购邀请，未预留份额专门面向中小企业采购的货物、服务项目，给予小微企业的价格扣除优惠由《办法》规定的6%-10%提高至10%-20%；大中型企业与小微企业组成联合体或者大中型企业向小微企业分包的，评审优惠幅度由2%—3%提高至4%—6%。政府采购工程的价格评审优惠按照《办法》的规定执行。</w:t>
      </w:r>
      <w:r>
        <w:rPr>
          <w:color w:val="auto"/>
          <w:sz w:val="21"/>
          <w:szCs w:val="21"/>
          <w:highlight w:val="none"/>
        </w:rPr>
        <w:t xml:space="preserve"> </w:t>
      </w:r>
    </w:p>
    <w:p w14:paraId="022BF3FD">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5"/>
        <w:textAlignment w:val="auto"/>
        <w:rPr>
          <w:b/>
          <w:bCs/>
          <w:color w:val="auto"/>
          <w:sz w:val="21"/>
          <w:szCs w:val="21"/>
          <w:highlight w:val="none"/>
        </w:rPr>
      </w:pPr>
      <w:r>
        <w:rPr>
          <w:rFonts w:hint="eastAsia" w:ascii="宋体" w:hAnsi="宋体" w:eastAsia="宋体" w:cs="宋体"/>
          <w:b/>
          <w:bCs/>
          <w:color w:val="auto"/>
          <w:sz w:val="21"/>
          <w:szCs w:val="21"/>
          <w:highlight w:val="none"/>
        </w:rPr>
        <w:t>三、提高政府采购工程项目预留份额比例</w:t>
      </w:r>
      <w:r>
        <w:rPr>
          <w:b/>
          <w:bCs/>
          <w:color w:val="auto"/>
          <w:sz w:val="21"/>
          <w:szCs w:val="21"/>
          <w:highlight w:val="none"/>
        </w:rPr>
        <w:t xml:space="preserve"> </w:t>
      </w:r>
    </w:p>
    <w:p w14:paraId="26F1282B">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5"/>
        <w:textAlignment w:val="auto"/>
        <w:rPr>
          <w:color w:val="auto"/>
          <w:sz w:val="21"/>
          <w:szCs w:val="21"/>
          <w:highlight w:val="none"/>
        </w:rPr>
      </w:pPr>
      <w:r>
        <w:rPr>
          <w:rFonts w:ascii="宋体" w:hAnsi="宋体" w:eastAsia="宋体" w:cs="宋体"/>
          <w:color w:val="auto"/>
          <w:sz w:val="21"/>
          <w:szCs w:val="21"/>
          <w:highlight w:val="none"/>
        </w:rPr>
        <w:t>400万元以下的工程采购项目适宜由中小企业提供的，采购人应当专门面向中小企业采购。达到或超过400万元的工程采购项目中适宜由中小企业提供的，在坚持公开、公正、公平竞争和统一质量标准的前提下，2022年下半年面向中小企业的预留份额由30%以上提高至40%以上。省财政厅将协调发改、工信、住建、交通、水利、商务等部门，按照国家相关工程招投标行政监督部门对工程招投标领域落实政府采购支持中小企业的政策要求，及时调整完善工程招投标领域有关标准文本、评标制度等，支持督促各预算单位严格落实政府采购政策。</w:t>
      </w:r>
      <w:r>
        <w:rPr>
          <w:color w:val="auto"/>
          <w:sz w:val="21"/>
          <w:szCs w:val="21"/>
          <w:highlight w:val="none"/>
        </w:rPr>
        <w:t xml:space="preserve"> </w:t>
      </w:r>
    </w:p>
    <w:p w14:paraId="3C5C241D">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5"/>
        <w:textAlignment w:val="auto"/>
        <w:rPr>
          <w:b/>
          <w:bCs/>
          <w:color w:val="auto"/>
          <w:sz w:val="21"/>
          <w:szCs w:val="21"/>
          <w:highlight w:val="none"/>
        </w:rPr>
      </w:pPr>
      <w:r>
        <w:rPr>
          <w:rFonts w:hint="eastAsia" w:ascii="宋体" w:hAnsi="宋体" w:eastAsia="宋体" w:cs="宋体"/>
          <w:b/>
          <w:bCs/>
          <w:color w:val="auto"/>
          <w:sz w:val="21"/>
          <w:szCs w:val="21"/>
          <w:highlight w:val="none"/>
        </w:rPr>
        <w:t>四、降低经营成本提高履约能力</w:t>
      </w:r>
      <w:r>
        <w:rPr>
          <w:b/>
          <w:bCs/>
          <w:color w:val="auto"/>
          <w:sz w:val="21"/>
          <w:szCs w:val="21"/>
          <w:highlight w:val="none"/>
        </w:rPr>
        <w:t xml:space="preserve"> </w:t>
      </w:r>
    </w:p>
    <w:p w14:paraId="49FBF9D2">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5"/>
        <w:textAlignment w:val="auto"/>
        <w:rPr>
          <w:color w:val="auto"/>
          <w:sz w:val="21"/>
          <w:szCs w:val="21"/>
          <w:highlight w:val="none"/>
        </w:rPr>
      </w:pPr>
      <w:r>
        <w:rPr>
          <w:rFonts w:ascii="宋体" w:hAnsi="宋体" w:eastAsia="宋体" w:cs="宋体"/>
          <w:color w:val="auto"/>
          <w:sz w:val="21"/>
          <w:szCs w:val="21"/>
          <w:highlight w:val="none"/>
        </w:rPr>
        <w:t>鼓励采购人、采购代理机构在政府采购活动中免收中小企业保证金或降低收取比例。对确需依法收取保证金的，应明确收取标准、缴纳方式和退还时限等要求，允许中小企业自主选择以支票、汇票、本票、保函等非现金形式缴纳或提交，降低经营成本。采购人、采购代理机构应对2022年5月前实施完成的政府采购项目投标（响应）或履约保证金进行核查清理，对符合法定或合同约定退还条件的应及时退还，切实减轻中小企业资金压力。采购人在编制采购文件时可结合项目实际，明确中小企业获得合同后可采取分期付款的方式，最大限度的确定首期预付款比例，并尽量缩短资金支付期限。</w:t>
      </w:r>
      <w:r>
        <w:rPr>
          <w:color w:val="auto"/>
          <w:sz w:val="21"/>
          <w:szCs w:val="21"/>
          <w:highlight w:val="none"/>
        </w:rPr>
        <w:t xml:space="preserve"> </w:t>
      </w:r>
    </w:p>
    <w:p w14:paraId="0821964E">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5"/>
        <w:textAlignment w:val="auto"/>
        <w:rPr>
          <w:b/>
          <w:bCs/>
          <w:color w:val="auto"/>
          <w:sz w:val="21"/>
          <w:szCs w:val="21"/>
          <w:highlight w:val="none"/>
        </w:rPr>
      </w:pPr>
      <w:r>
        <w:rPr>
          <w:rFonts w:hint="eastAsia" w:ascii="宋体" w:hAnsi="宋体" w:eastAsia="宋体" w:cs="宋体"/>
          <w:b/>
          <w:bCs/>
          <w:color w:val="auto"/>
          <w:sz w:val="21"/>
          <w:szCs w:val="21"/>
          <w:highlight w:val="none"/>
        </w:rPr>
        <w:t>五、优化政府采购程序推进全流程电子化</w:t>
      </w:r>
      <w:r>
        <w:rPr>
          <w:b/>
          <w:bCs/>
          <w:color w:val="auto"/>
          <w:sz w:val="21"/>
          <w:szCs w:val="21"/>
          <w:highlight w:val="none"/>
        </w:rPr>
        <w:t xml:space="preserve"> </w:t>
      </w:r>
    </w:p>
    <w:p w14:paraId="66DEF1C4">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5"/>
        <w:textAlignment w:val="auto"/>
        <w:rPr>
          <w:color w:val="auto"/>
          <w:sz w:val="21"/>
          <w:szCs w:val="21"/>
          <w:highlight w:val="none"/>
        </w:rPr>
      </w:pPr>
      <w:r>
        <w:rPr>
          <w:rFonts w:hint="eastAsia" w:ascii="宋体" w:hAnsi="宋体" w:eastAsia="宋体" w:cs="宋体"/>
          <w:color w:val="auto"/>
          <w:sz w:val="21"/>
          <w:szCs w:val="21"/>
          <w:highlight w:val="none"/>
        </w:rPr>
        <w:t>中小企业参加政府采购活动，对于出具《中小企业声明函》的，任何单位和个人不得另行要求提供《中小企业声明函》之外的中小企业身份证明文件。对于法人代表已经出具委托书的，不得要求法人代表亲自领购采购文件或者到场参加开标、谈判等。加快推进全省政府采购全流程电子化建设，实现在线发布采购公告、提供采购文件、提交投标（响应）文件，实行电子开标、电子评审，提升中小企业参与政府采购活动的便利度。</w:t>
      </w:r>
      <w:r>
        <w:rPr>
          <w:color w:val="auto"/>
          <w:sz w:val="21"/>
          <w:szCs w:val="21"/>
          <w:highlight w:val="none"/>
        </w:rPr>
        <w:t xml:space="preserve"> </w:t>
      </w:r>
    </w:p>
    <w:p w14:paraId="680B8C4C">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5"/>
        <w:textAlignment w:val="auto"/>
        <w:rPr>
          <w:b/>
          <w:bCs/>
          <w:color w:val="auto"/>
          <w:sz w:val="21"/>
          <w:szCs w:val="21"/>
          <w:highlight w:val="none"/>
        </w:rPr>
      </w:pPr>
      <w:r>
        <w:rPr>
          <w:rFonts w:hint="eastAsia" w:ascii="宋体" w:hAnsi="宋体" w:eastAsia="宋体" w:cs="宋体"/>
          <w:b/>
          <w:bCs/>
          <w:color w:val="auto"/>
          <w:sz w:val="21"/>
          <w:szCs w:val="21"/>
          <w:highlight w:val="none"/>
        </w:rPr>
        <w:t>六、加强项目执行管理提升政府采购透明度</w:t>
      </w:r>
      <w:r>
        <w:rPr>
          <w:b/>
          <w:bCs/>
          <w:color w:val="auto"/>
          <w:sz w:val="21"/>
          <w:szCs w:val="21"/>
          <w:highlight w:val="none"/>
        </w:rPr>
        <w:t xml:space="preserve"> </w:t>
      </w:r>
    </w:p>
    <w:p w14:paraId="7F061787">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5"/>
        <w:textAlignment w:val="auto"/>
        <w:rPr>
          <w:color w:val="auto"/>
          <w:sz w:val="21"/>
          <w:szCs w:val="21"/>
          <w:highlight w:val="none"/>
        </w:rPr>
      </w:pPr>
      <w:r>
        <w:rPr>
          <w:rFonts w:hint="eastAsia" w:ascii="宋体" w:hAnsi="宋体" w:eastAsia="宋体" w:cs="宋体"/>
          <w:color w:val="auto"/>
          <w:sz w:val="21"/>
          <w:szCs w:val="21"/>
          <w:highlight w:val="none"/>
        </w:rPr>
        <w:t>采购人、采购代理机构对投标（响应）文件的格式、形式要求应当简化明确，不得因非实质性的格式、形式问题限制和影响中小企业投标（响应）。实现电子化采购的，采购人、采购代理机构应当免费提供电子采购文件；暂未实现电子化采购的，鼓励采购人、采购代理机构向中小企业免费提供纸质采购文件。各级预算单位在公开政府采购意向时，必须标明是否专门面向中小企业采购，便于中小企业提前做好参与政府采购活动的各项准备工作。未按照规定进行政府采购意向公开的采购项目，原则上不得开展采购活动。</w:t>
      </w:r>
      <w:r>
        <w:rPr>
          <w:color w:val="auto"/>
          <w:sz w:val="21"/>
          <w:szCs w:val="21"/>
          <w:highlight w:val="none"/>
        </w:rPr>
        <w:t xml:space="preserve"> </w:t>
      </w:r>
    </w:p>
    <w:p w14:paraId="04F57839">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5"/>
        <w:textAlignment w:val="auto"/>
        <w:rPr>
          <w:color w:val="auto"/>
          <w:sz w:val="21"/>
          <w:szCs w:val="21"/>
          <w:highlight w:val="none"/>
        </w:rPr>
      </w:pPr>
      <w:r>
        <w:rPr>
          <w:rFonts w:hint="eastAsia" w:ascii="宋体" w:hAnsi="宋体" w:eastAsia="宋体" w:cs="宋体"/>
          <w:color w:val="auto"/>
          <w:sz w:val="21"/>
          <w:szCs w:val="21"/>
          <w:highlight w:val="none"/>
        </w:rPr>
        <w:t>各级主管预算单位要加强对本部门、本系统政府采购项目的统筹把握，明确工作责任，周密安排部署，严格落实预留采购份额和价格评审优惠措施支持中小企业发展。同时，按照六条措施要求，要制定具体工作方案，确保政策执行不走样、显成效。各级财政部门应加强组织领导，结合本地区实际情况明确政策执行要求，加强对采购单位政策执行情况的监督检查，在政策执行中好的经验办法和遇到的问题及时向省财政厅报告。</w:t>
      </w:r>
    </w:p>
    <w:p w14:paraId="12514AF1">
      <w:pPr>
        <w:rPr>
          <w:rFonts w:ascii="宋体" w:hAnsi="宋体" w:cs="宋体"/>
          <w:b/>
          <w:bCs/>
          <w:color w:val="auto"/>
          <w:sz w:val="21"/>
          <w:szCs w:val="21"/>
          <w:highlight w:val="none"/>
        </w:rPr>
      </w:pPr>
      <w:r>
        <w:rPr>
          <w:rFonts w:ascii="宋体" w:hAnsi="宋体" w:cs="宋体"/>
          <w:b/>
          <w:bCs/>
          <w:color w:val="auto"/>
          <w:sz w:val="21"/>
          <w:szCs w:val="21"/>
          <w:highlight w:val="none"/>
        </w:rPr>
        <w:br w:type="page"/>
      </w:r>
    </w:p>
    <w:p w14:paraId="6C466CDE">
      <w:pPr>
        <w:rPr>
          <w:rFonts w:hint="eastAsia" w:ascii="宋体" w:hAnsi="宋体" w:eastAsia="宋体" w:cs="宋体"/>
          <w:b/>
          <w:bCs/>
          <w:color w:val="auto"/>
          <w:sz w:val="21"/>
          <w:szCs w:val="21"/>
          <w:highlight w:val="none"/>
        </w:rPr>
      </w:pPr>
    </w:p>
    <w:p w14:paraId="6FAC46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黑体" w:hAnsi="黑体" w:eastAsia="黑体" w:cs="宋体"/>
          <w:bCs/>
          <w:color w:val="auto"/>
          <w:sz w:val="28"/>
          <w:szCs w:val="28"/>
          <w:highlight w:val="none"/>
          <w:shd w:val="clear" w:color="auto" w:fill="FFFFFF"/>
          <w:lang w:val="en-US" w:eastAsia="zh-CN"/>
        </w:rPr>
      </w:pPr>
      <w:r>
        <w:rPr>
          <w:rFonts w:hint="eastAsia" w:ascii="黑体" w:hAnsi="黑体" w:eastAsia="黑体" w:cs="宋体"/>
          <w:bCs/>
          <w:color w:val="auto"/>
          <w:sz w:val="28"/>
          <w:szCs w:val="28"/>
          <w:highlight w:val="none"/>
          <w:shd w:val="clear" w:color="auto" w:fill="FFFFFF"/>
          <w:lang w:val="en-US" w:eastAsia="zh-CN"/>
        </w:rPr>
        <w:t>财政部 司法部关于政府采购支持监狱企业发展有关问题的通知</w:t>
      </w:r>
    </w:p>
    <w:p w14:paraId="6BD131B8">
      <w:pPr>
        <w:pStyle w:val="5"/>
        <w:keepNext w:val="0"/>
        <w:keepLines w:val="0"/>
        <w:pageBreakBefore w:val="0"/>
        <w:widowControl/>
        <w:kinsoku/>
        <w:wordWrap/>
        <w:overflowPunct/>
        <w:topLinePunct w:val="0"/>
        <w:autoSpaceDE/>
        <w:autoSpaceDN/>
        <w:bidi w:val="0"/>
        <w:adjustRightInd/>
        <w:snapToGrid/>
        <w:spacing w:before="120" w:beforeLines="50" w:after="120" w:afterLines="50" w:line="288" w:lineRule="auto"/>
        <w:jc w:val="center"/>
        <w:textAlignment w:val="baseline"/>
        <w:rPr>
          <w:rFonts w:hint="eastAsia" w:ascii="宋体" w:hAnsi="宋体" w:eastAsia="宋体" w:cs="宋体"/>
          <w:b w:val="0"/>
          <w:bCs/>
          <w:color w:val="auto"/>
          <w:sz w:val="24"/>
          <w:szCs w:val="24"/>
          <w:highlight w:val="none"/>
        </w:rPr>
      </w:pPr>
      <w:bookmarkStart w:id="40" w:name="_Toc21391"/>
      <w:r>
        <w:rPr>
          <w:rFonts w:hint="eastAsia" w:ascii="宋体" w:hAnsi="宋体" w:eastAsia="宋体" w:cs="宋体"/>
          <w:b w:val="0"/>
          <w:bCs/>
          <w:color w:val="auto"/>
          <w:sz w:val="24"/>
          <w:szCs w:val="24"/>
          <w:highlight w:val="none"/>
          <w:shd w:val="clear" w:color="auto" w:fill="FFFFFF"/>
        </w:rPr>
        <w:t>财库〔2014〕68号</w:t>
      </w:r>
      <w:bookmarkEnd w:id="40"/>
    </w:p>
    <w:p w14:paraId="5DD9F9EA">
      <w:pPr>
        <w:pStyle w:val="39"/>
        <w:keepNext w:val="0"/>
        <w:keepLines w:val="0"/>
        <w:pageBreakBefore w:val="0"/>
        <w:widowControl/>
        <w:kinsoku/>
        <w:wordWrap/>
        <w:overflowPunct/>
        <w:topLinePunct w:val="0"/>
        <w:autoSpaceDE/>
        <w:autoSpaceDN/>
        <w:bidi w:val="0"/>
        <w:adjustRightInd/>
        <w:snapToGrid/>
        <w:spacing w:line="288" w:lineRule="auto"/>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6FC62FCD">
      <w:pPr>
        <w:pStyle w:val="39"/>
        <w:keepNext w:val="0"/>
        <w:keepLines w:val="0"/>
        <w:pageBreakBefore w:val="0"/>
        <w:widowControl/>
        <w:kinsoku/>
        <w:wordWrap/>
        <w:overflowPunct/>
        <w:topLinePunct w:val="0"/>
        <w:autoSpaceDE/>
        <w:autoSpaceDN/>
        <w:bidi w:val="0"/>
        <w:adjustRightInd/>
        <w:snapToGrid/>
        <w:spacing w:line="288" w:lineRule="auto"/>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政府采购支持监狱和戒毒企业（以下简称监狱企业）发展对稳定监狱企业生产，提高</w:t>
      </w:r>
      <w:r>
        <w:rPr>
          <w:rFonts w:hint="eastAsia" w:ascii="宋体" w:hAnsi="宋体" w:cs="宋体"/>
          <w:color w:val="auto"/>
          <w:sz w:val="24"/>
          <w:szCs w:val="24"/>
          <w:highlight w:val="none"/>
          <w:shd w:val="clear" w:color="auto" w:fill="FFFFFF"/>
          <w:lang w:eastAsia="zh-CN"/>
        </w:rPr>
        <w:t>自筹资金</w:t>
      </w:r>
      <w:r>
        <w:rPr>
          <w:rFonts w:hint="eastAsia" w:ascii="宋体" w:hAnsi="宋体" w:eastAsia="宋体" w:cs="宋体"/>
          <w:color w:val="auto"/>
          <w:sz w:val="24"/>
          <w:szCs w:val="24"/>
          <w:highlight w:val="none"/>
          <w:shd w:val="clear" w:color="auto" w:fill="FFFFFF"/>
        </w:rPr>
        <w:t>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p>
    <w:p w14:paraId="4110E482">
      <w:pPr>
        <w:pStyle w:val="39"/>
        <w:keepNext w:val="0"/>
        <w:keepLines w:val="0"/>
        <w:pageBreakBefore w:val="0"/>
        <w:widowControl/>
        <w:kinsoku/>
        <w:wordWrap/>
        <w:overflowPunct/>
        <w:topLinePunct w:val="0"/>
        <w:autoSpaceDE/>
        <w:autoSpaceDN/>
        <w:bidi w:val="0"/>
        <w:adjustRightInd/>
        <w:snapToGrid/>
        <w:spacing w:line="288" w:lineRule="auto"/>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8987A7D">
      <w:pPr>
        <w:pStyle w:val="39"/>
        <w:keepNext w:val="0"/>
        <w:keepLines w:val="0"/>
        <w:pageBreakBefore w:val="0"/>
        <w:widowControl/>
        <w:kinsoku/>
        <w:wordWrap/>
        <w:overflowPunct/>
        <w:topLinePunct w:val="0"/>
        <w:autoSpaceDE/>
        <w:autoSpaceDN/>
        <w:bidi w:val="0"/>
        <w:adjustRightInd/>
        <w:snapToGrid/>
        <w:spacing w:line="288" w:lineRule="auto"/>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二、在政府采购活动中，监狱企业视同小型、微型企业，享受预留份额、评审中价格扣除等政府采购促进中小企业发展的政府采购政策。向监狱企业采购的金额，计入面向中小企业采购的统计数据。</w:t>
      </w:r>
    </w:p>
    <w:p w14:paraId="46865CBF">
      <w:pPr>
        <w:pStyle w:val="39"/>
        <w:keepNext w:val="0"/>
        <w:keepLines w:val="0"/>
        <w:pageBreakBefore w:val="0"/>
        <w:widowControl/>
        <w:kinsoku/>
        <w:wordWrap/>
        <w:overflowPunct/>
        <w:topLinePunct w:val="0"/>
        <w:autoSpaceDE/>
        <w:autoSpaceDN/>
        <w:bidi w:val="0"/>
        <w:adjustRightInd/>
        <w:snapToGrid/>
        <w:spacing w:line="288" w:lineRule="auto"/>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06D70978">
      <w:pPr>
        <w:pStyle w:val="39"/>
        <w:keepNext w:val="0"/>
        <w:keepLines w:val="0"/>
        <w:pageBreakBefore w:val="0"/>
        <w:widowControl/>
        <w:kinsoku/>
        <w:wordWrap/>
        <w:overflowPunct/>
        <w:topLinePunct w:val="0"/>
        <w:autoSpaceDE/>
        <w:autoSpaceDN/>
        <w:bidi w:val="0"/>
        <w:adjustRightInd/>
        <w:snapToGrid/>
        <w:spacing w:line="288" w:lineRule="auto"/>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四、各地区可以结合本地区实际，对监狱企业生产的办公用品、家具用具、车辆维修和提供的保养服务、消防设备等，提出预留份额等政府采购支持措施，加大对监狱企业产品的采购力度。</w:t>
      </w:r>
    </w:p>
    <w:p w14:paraId="4A20ECDA">
      <w:pPr>
        <w:pStyle w:val="39"/>
        <w:keepNext w:val="0"/>
        <w:keepLines w:val="0"/>
        <w:pageBreakBefore w:val="0"/>
        <w:widowControl/>
        <w:kinsoku/>
        <w:wordWrap/>
        <w:overflowPunct/>
        <w:topLinePunct w:val="0"/>
        <w:autoSpaceDE/>
        <w:autoSpaceDN/>
        <w:bidi w:val="0"/>
        <w:adjustRightInd/>
        <w:snapToGrid/>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95C067D">
      <w:pPr>
        <w:pStyle w:val="39"/>
        <w:keepNext w:val="0"/>
        <w:keepLines w:val="0"/>
        <w:pageBreakBefore w:val="0"/>
        <w:widowControl/>
        <w:kinsoku/>
        <w:wordWrap/>
        <w:overflowPunct/>
        <w:topLinePunct w:val="0"/>
        <w:autoSpaceDE/>
        <w:autoSpaceDN/>
        <w:bidi w:val="0"/>
        <w:adjustRightInd/>
        <w:snapToGrid/>
        <w:spacing w:line="288" w:lineRule="auto"/>
        <w:jc w:val="right"/>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中华人民共和国财政部</w:t>
      </w:r>
    </w:p>
    <w:p w14:paraId="3F622E68">
      <w:pPr>
        <w:pStyle w:val="39"/>
        <w:keepNext w:val="0"/>
        <w:keepLines w:val="0"/>
        <w:pageBreakBefore w:val="0"/>
        <w:widowControl/>
        <w:kinsoku/>
        <w:wordWrap/>
        <w:overflowPunct/>
        <w:topLinePunct w:val="0"/>
        <w:autoSpaceDE/>
        <w:autoSpaceDN/>
        <w:bidi w:val="0"/>
        <w:adjustRightInd/>
        <w:snapToGrid/>
        <w:spacing w:line="288" w:lineRule="auto"/>
        <w:jc w:val="right"/>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中华人民共和国司法部</w:t>
      </w:r>
    </w:p>
    <w:p w14:paraId="6B8473C2">
      <w:pPr>
        <w:pStyle w:val="39"/>
        <w:keepNext w:val="0"/>
        <w:keepLines w:val="0"/>
        <w:pageBreakBefore w:val="0"/>
        <w:widowControl/>
        <w:kinsoku/>
        <w:wordWrap/>
        <w:overflowPunct/>
        <w:topLinePunct w:val="0"/>
        <w:autoSpaceDE/>
        <w:autoSpaceDN/>
        <w:bidi w:val="0"/>
        <w:adjustRightInd/>
        <w:snapToGrid/>
        <w:spacing w:line="288" w:lineRule="auto"/>
        <w:jc w:val="right"/>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2014年6月10日</w:t>
      </w:r>
    </w:p>
    <w:p w14:paraId="78986786">
      <w:pPr>
        <w:pStyle w:val="5"/>
        <w:keepNext w:val="0"/>
        <w:keepLines w:val="0"/>
        <w:pageBreakBefore w:val="0"/>
        <w:widowControl/>
        <w:kinsoku/>
        <w:wordWrap/>
        <w:overflowPunct/>
        <w:topLinePunct w:val="0"/>
        <w:autoSpaceDE/>
        <w:autoSpaceDN/>
        <w:bidi w:val="0"/>
        <w:adjustRightInd/>
        <w:snapToGrid/>
        <w:spacing w:before="120" w:beforeLines="50" w:after="120" w:afterLines="50" w:line="288" w:lineRule="auto"/>
        <w:jc w:val="center"/>
        <w:textAlignment w:val="baseline"/>
        <w:rPr>
          <w:rFonts w:hint="eastAsia" w:ascii="宋体" w:hAnsi="宋体" w:eastAsia="宋体" w:cs="宋体"/>
          <w:b/>
          <w:bCs w:val="0"/>
          <w:color w:val="auto"/>
          <w:sz w:val="24"/>
          <w:szCs w:val="24"/>
          <w:highlight w:val="none"/>
          <w:shd w:val="clear" w:color="auto" w:fill="FFFFFF"/>
        </w:rPr>
      </w:pPr>
      <w:r>
        <w:rPr>
          <w:rFonts w:hint="eastAsia" w:ascii="宋体" w:hAnsi="宋体" w:eastAsia="宋体" w:cs="宋体"/>
          <w:color w:val="auto"/>
          <w:szCs w:val="21"/>
          <w:highlight w:val="none"/>
          <w:shd w:val="clear" w:color="auto" w:fill="FFFFFF"/>
        </w:rPr>
        <w:br w:type="page"/>
      </w:r>
      <w:r>
        <w:rPr>
          <w:rFonts w:hint="eastAsia" w:ascii="宋体" w:hAnsi="宋体" w:eastAsia="宋体" w:cs="宋体"/>
          <w:b/>
          <w:bCs w:val="0"/>
          <w:color w:val="auto"/>
          <w:sz w:val="24"/>
          <w:szCs w:val="24"/>
          <w:highlight w:val="none"/>
          <w:shd w:val="clear" w:color="auto" w:fill="FFFFFF"/>
        </w:rPr>
        <w:t>关于促进残疾人就业政府采购政策的通知</w:t>
      </w:r>
    </w:p>
    <w:p w14:paraId="1F69675D">
      <w:pPr>
        <w:pStyle w:val="39"/>
        <w:keepNext w:val="0"/>
        <w:keepLines w:val="0"/>
        <w:pageBreakBefore w:val="0"/>
        <w:widowControl/>
        <w:kinsoku/>
        <w:wordWrap/>
        <w:overflowPunct/>
        <w:topLinePunct w:val="0"/>
        <w:autoSpaceDE/>
        <w:autoSpaceDN/>
        <w:bidi w:val="0"/>
        <w:adjustRightInd/>
        <w:snapToGrid/>
        <w:spacing w:before="48" w:beforeLines="20" w:after="48" w:afterLines="20" w:line="288" w:lineRule="auto"/>
        <w:jc w:val="center"/>
        <w:textAlignment w:val="baseline"/>
        <w:rPr>
          <w:rFonts w:hint="eastAsia" w:ascii="宋体" w:hAnsi="宋体" w:eastAsia="宋体" w:cs="宋体"/>
          <w:bCs/>
          <w:color w:val="auto"/>
          <w:sz w:val="24"/>
          <w:szCs w:val="24"/>
          <w:highlight w:val="none"/>
        </w:rPr>
      </w:pPr>
      <w:r>
        <w:rPr>
          <w:rStyle w:val="48"/>
          <w:rFonts w:hint="eastAsia" w:ascii="宋体" w:hAnsi="宋体" w:eastAsia="宋体" w:cs="宋体"/>
          <w:bCs w:val="0"/>
          <w:color w:val="auto"/>
          <w:sz w:val="24"/>
          <w:szCs w:val="24"/>
          <w:highlight w:val="none"/>
          <w:shd w:val="clear" w:color="auto" w:fill="FFFFFF"/>
        </w:rPr>
        <w:t>财库〔2017〕141号</w:t>
      </w:r>
    </w:p>
    <w:p w14:paraId="5AB7E490">
      <w:pPr>
        <w:pStyle w:val="39"/>
        <w:keepNext w:val="0"/>
        <w:keepLines w:val="0"/>
        <w:pageBreakBefore w:val="0"/>
        <w:widowControl/>
        <w:kinsoku/>
        <w:wordWrap/>
        <w:overflowPunct/>
        <w:topLinePunct w:val="0"/>
        <w:autoSpaceDE/>
        <w:autoSpaceDN/>
        <w:bidi w:val="0"/>
        <w:adjustRightInd/>
        <w:snapToGrid/>
        <w:spacing w:line="288" w:lineRule="auto"/>
        <w:jc w:val="both"/>
        <w:textAlignment w:val="baseline"/>
        <w:rPr>
          <w:rFonts w:hint="eastAsia" w:ascii="宋体" w:hAnsi="宋体" w:eastAsia="宋体" w:cs="宋体"/>
          <w:color w:val="auto"/>
          <w:sz w:val="24"/>
          <w:szCs w:val="24"/>
          <w:highlight w:val="none"/>
        </w:rPr>
      </w:pPr>
      <w:bookmarkStart w:id="41" w:name="toDeptId"/>
      <w:r>
        <w:rPr>
          <w:rFonts w:hint="eastAsia" w:ascii="宋体" w:hAnsi="宋体" w:eastAsia="宋体" w:cs="宋体"/>
          <w:color w:val="auto"/>
          <w:sz w:val="24"/>
          <w:szCs w:val="24"/>
          <w:highlight w:val="none"/>
          <w:shd w:val="clear" w:color="auto" w:fill="FFFFFF"/>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41"/>
      <w:r>
        <w:rPr>
          <w:rFonts w:hint="eastAsia" w:ascii="宋体" w:hAnsi="宋体" w:eastAsia="宋体" w:cs="宋体"/>
          <w:color w:val="auto"/>
          <w:sz w:val="24"/>
          <w:szCs w:val="24"/>
          <w:highlight w:val="none"/>
          <w:shd w:val="clear" w:color="auto" w:fill="FFFFFF"/>
        </w:rPr>
        <w:t>：</w:t>
      </w:r>
    </w:p>
    <w:p w14:paraId="2BF4F0EC">
      <w:pPr>
        <w:pStyle w:val="39"/>
        <w:keepNext w:val="0"/>
        <w:keepLines w:val="0"/>
        <w:pageBreakBefore w:val="0"/>
        <w:widowControl/>
        <w:kinsoku/>
        <w:wordWrap/>
        <w:overflowPunct/>
        <w:topLinePunct w:val="0"/>
        <w:autoSpaceDE/>
        <w:autoSpaceDN/>
        <w:bidi w:val="0"/>
        <w:adjustRightInd/>
        <w:snapToGrid/>
        <w:spacing w:line="288"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　　为了发挥政府采购促进残疾人就业的作用，进一步保障残疾人权益，依照《政府采购法》、《残疾人保障法》等法律法规及相关规定，现就促进残疾人就业政府采购政策通知如下：</w:t>
      </w:r>
    </w:p>
    <w:p w14:paraId="19E6B0C8">
      <w:pPr>
        <w:pStyle w:val="39"/>
        <w:keepNext w:val="0"/>
        <w:keepLines w:val="0"/>
        <w:pageBreakBefore w:val="0"/>
        <w:widowControl/>
        <w:kinsoku/>
        <w:wordWrap/>
        <w:overflowPunct/>
        <w:topLinePunct w:val="0"/>
        <w:autoSpaceDE/>
        <w:autoSpaceDN/>
        <w:bidi w:val="0"/>
        <w:adjustRightInd/>
        <w:snapToGrid/>
        <w:spacing w:line="288"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　　一、享受政府采购支持政策的残疾人福利性单位应当同时满足以下条件：</w:t>
      </w:r>
    </w:p>
    <w:p w14:paraId="7B6D2833">
      <w:pPr>
        <w:pStyle w:val="39"/>
        <w:keepNext w:val="0"/>
        <w:keepLines w:val="0"/>
        <w:pageBreakBefore w:val="0"/>
        <w:widowControl/>
        <w:kinsoku/>
        <w:wordWrap/>
        <w:overflowPunct/>
        <w:topLinePunct w:val="0"/>
        <w:autoSpaceDE/>
        <w:autoSpaceDN/>
        <w:bidi w:val="0"/>
        <w:adjustRightInd/>
        <w:snapToGrid/>
        <w:spacing w:line="288"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　　（一）安置的残疾人占本单位在职职工人数的比例不低于25%（含25%），并且安置的残疾人人数不少于10人（含10人）；</w:t>
      </w:r>
    </w:p>
    <w:p w14:paraId="6B0C7449">
      <w:pPr>
        <w:pStyle w:val="39"/>
        <w:keepNext w:val="0"/>
        <w:keepLines w:val="0"/>
        <w:pageBreakBefore w:val="0"/>
        <w:widowControl/>
        <w:kinsoku/>
        <w:wordWrap/>
        <w:overflowPunct/>
        <w:topLinePunct w:val="0"/>
        <w:autoSpaceDE/>
        <w:autoSpaceDN/>
        <w:bidi w:val="0"/>
        <w:adjustRightInd/>
        <w:snapToGrid/>
        <w:spacing w:line="288"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　　（二）依法与安置的每位残疾人签订了一年以上（含一年）的劳动合同或服务协议；</w:t>
      </w:r>
    </w:p>
    <w:p w14:paraId="15531995">
      <w:pPr>
        <w:pStyle w:val="39"/>
        <w:keepNext w:val="0"/>
        <w:keepLines w:val="0"/>
        <w:pageBreakBefore w:val="0"/>
        <w:widowControl/>
        <w:kinsoku/>
        <w:wordWrap/>
        <w:overflowPunct/>
        <w:topLinePunct w:val="0"/>
        <w:autoSpaceDE/>
        <w:autoSpaceDN/>
        <w:bidi w:val="0"/>
        <w:adjustRightInd/>
        <w:snapToGrid/>
        <w:spacing w:line="288"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　　（三）为安置的每位残疾人按月足额缴纳了基本养老保险、基本医疗保险、失业保险、工伤保险和生育保险等社会保险费；</w:t>
      </w:r>
    </w:p>
    <w:p w14:paraId="7D0DD6E0">
      <w:pPr>
        <w:pStyle w:val="39"/>
        <w:keepNext w:val="0"/>
        <w:keepLines w:val="0"/>
        <w:pageBreakBefore w:val="0"/>
        <w:widowControl/>
        <w:kinsoku/>
        <w:wordWrap/>
        <w:overflowPunct/>
        <w:topLinePunct w:val="0"/>
        <w:autoSpaceDE/>
        <w:autoSpaceDN/>
        <w:bidi w:val="0"/>
        <w:adjustRightInd/>
        <w:snapToGrid/>
        <w:spacing w:line="288"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　　（四）通过银行等金融机构向安置的每位残疾人，按月支付了不低于单位所在区县适用的经省级人民政府批准的月最低工资标准的工资；</w:t>
      </w:r>
    </w:p>
    <w:p w14:paraId="733D5EA5">
      <w:pPr>
        <w:pStyle w:val="39"/>
        <w:keepNext w:val="0"/>
        <w:keepLines w:val="0"/>
        <w:pageBreakBefore w:val="0"/>
        <w:widowControl/>
        <w:kinsoku/>
        <w:wordWrap/>
        <w:overflowPunct/>
        <w:topLinePunct w:val="0"/>
        <w:autoSpaceDE/>
        <w:autoSpaceDN/>
        <w:bidi w:val="0"/>
        <w:adjustRightInd/>
        <w:snapToGrid/>
        <w:spacing w:line="288"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　　（五）提供本单位制造的货物、承担的工程或者服务（以下简称产品），或者提供其他残疾人福利性单位制造的货物（不包括使用非残疾人福利性单位注册商标的货物）。</w:t>
      </w:r>
    </w:p>
    <w:p w14:paraId="4DD879BF">
      <w:pPr>
        <w:pStyle w:val="39"/>
        <w:keepNext w:val="0"/>
        <w:keepLines w:val="0"/>
        <w:pageBreakBefore w:val="0"/>
        <w:widowControl/>
        <w:kinsoku/>
        <w:wordWrap/>
        <w:overflowPunct/>
        <w:topLinePunct w:val="0"/>
        <w:autoSpaceDE/>
        <w:autoSpaceDN/>
        <w:bidi w:val="0"/>
        <w:adjustRightInd/>
        <w:snapToGrid/>
        <w:spacing w:line="288"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3712CA0">
      <w:pPr>
        <w:pStyle w:val="39"/>
        <w:keepNext w:val="0"/>
        <w:keepLines w:val="0"/>
        <w:pageBreakBefore w:val="0"/>
        <w:widowControl/>
        <w:kinsoku/>
        <w:wordWrap/>
        <w:overflowPunct/>
        <w:topLinePunct w:val="0"/>
        <w:autoSpaceDE/>
        <w:autoSpaceDN/>
        <w:bidi w:val="0"/>
        <w:adjustRightInd/>
        <w:snapToGrid/>
        <w:spacing w:line="288"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566461EA">
      <w:pPr>
        <w:pStyle w:val="39"/>
        <w:keepNext w:val="0"/>
        <w:keepLines w:val="0"/>
        <w:pageBreakBefore w:val="0"/>
        <w:widowControl/>
        <w:kinsoku/>
        <w:wordWrap/>
        <w:overflowPunct/>
        <w:topLinePunct w:val="0"/>
        <w:autoSpaceDE/>
        <w:autoSpaceDN/>
        <w:bidi w:val="0"/>
        <w:adjustRightInd/>
        <w:snapToGrid/>
        <w:spacing w:line="288"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　　中标、成交供应商为残疾人福利性单位的，采购人或者其委托的采购代理机构应当随中标、成交结果同时公告其《残疾人福利性单位声明函》，接受社会监督。</w:t>
      </w:r>
    </w:p>
    <w:p w14:paraId="74D1B964">
      <w:pPr>
        <w:pStyle w:val="39"/>
        <w:keepNext w:val="0"/>
        <w:keepLines w:val="0"/>
        <w:pageBreakBefore w:val="0"/>
        <w:widowControl/>
        <w:kinsoku/>
        <w:wordWrap/>
        <w:overflowPunct/>
        <w:topLinePunct w:val="0"/>
        <w:autoSpaceDE/>
        <w:autoSpaceDN/>
        <w:bidi w:val="0"/>
        <w:adjustRightInd/>
        <w:snapToGrid/>
        <w:spacing w:line="288"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　　供应商提供的《残疾人福利性单位声明函》与事实不符的，依照《政府采购法》第七十七条第一款的规定追究法律责任。</w:t>
      </w:r>
    </w:p>
    <w:p w14:paraId="51E9EA53">
      <w:pPr>
        <w:pStyle w:val="39"/>
        <w:keepNext w:val="0"/>
        <w:keepLines w:val="0"/>
        <w:pageBreakBefore w:val="0"/>
        <w:widowControl/>
        <w:kinsoku/>
        <w:wordWrap/>
        <w:overflowPunct/>
        <w:topLinePunct w:val="0"/>
        <w:autoSpaceDE/>
        <w:autoSpaceDN/>
        <w:bidi w:val="0"/>
        <w:adjustRightInd/>
        <w:snapToGrid/>
        <w:spacing w:line="288"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F398196">
      <w:pPr>
        <w:pStyle w:val="39"/>
        <w:keepNext w:val="0"/>
        <w:keepLines w:val="0"/>
        <w:pageBreakBefore w:val="0"/>
        <w:widowControl/>
        <w:kinsoku/>
        <w:wordWrap/>
        <w:overflowPunct/>
        <w:topLinePunct w:val="0"/>
        <w:autoSpaceDE/>
        <w:autoSpaceDN/>
        <w:bidi w:val="0"/>
        <w:adjustRightInd/>
        <w:snapToGrid/>
        <w:spacing w:line="288"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　　四、采购人采购公开招标数额标准以上的货物或者服务，因落实促进残疾人就业政策的需要，依法履行有关报批程序后，可采用公开招标以外的采购方式。</w:t>
      </w:r>
    </w:p>
    <w:p w14:paraId="32FB62DA">
      <w:pPr>
        <w:pStyle w:val="39"/>
        <w:keepNext w:val="0"/>
        <w:keepLines w:val="0"/>
        <w:pageBreakBefore w:val="0"/>
        <w:widowControl/>
        <w:kinsoku/>
        <w:wordWrap/>
        <w:overflowPunct/>
        <w:topLinePunct w:val="0"/>
        <w:autoSpaceDE/>
        <w:autoSpaceDN/>
        <w:bidi w:val="0"/>
        <w:adjustRightInd/>
        <w:snapToGrid/>
        <w:spacing w:line="288"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56E1D0F3">
      <w:pPr>
        <w:pStyle w:val="39"/>
        <w:keepNext w:val="0"/>
        <w:keepLines w:val="0"/>
        <w:pageBreakBefore w:val="0"/>
        <w:widowControl/>
        <w:kinsoku/>
        <w:wordWrap/>
        <w:overflowPunct/>
        <w:topLinePunct w:val="0"/>
        <w:autoSpaceDE/>
        <w:autoSpaceDN/>
        <w:bidi w:val="0"/>
        <w:adjustRightInd/>
        <w:snapToGrid/>
        <w:spacing w:line="288"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0D86380D">
      <w:pPr>
        <w:pStyle w:val="39"/>
        <w:keepNext w:val="0"/>
        <w:keepLines w:val="0"/>
        <w:pageBreakBefore w:val="0"/>
        <w:widowControl/>
        <w:kinsoku/>
        <w:wordWrap/>
        <w:overflowPunct/>
        <w:topLinePunct w:val="0"/>
        <w:autoSpaceDE/>
        <w:autoSpaceDN/>
        <w:bidi w:val="0"/>
        <w:adjustRightInd/>
        <w:snapToGrid/>
        <w:spacing w:line="288"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　　七、本通知自2017年10月1日起执行。</w:t>
      </w:r>
    </w:p>
    <w:p w14:paraId="10086465">
      <w:pPr>
        <w:pStyle w:val="39"/>
        <w:keepNext w:val="0"/>
        <w:keepLines w:val="0"/>
        <w:pageBreakBefore w:val="0"/>
        <w:widowControl/>
        <w:kinsoku/>
        <w:wordWrap/>
        <w:overflowPunct/>
        <w:topLinePunct w:val="0"/>
        <w:autoSpaceDE/>
        <w:autoSpaceDN/>
        <w:bidi w:val="0"/>
        <w:adjustRightInd/>
        <w:snapToGrid/>
        <w:spacing w:line="288"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　　财政部 民政部 中国残疾人联合会</w:t>
      </w:r>
    </w:p>
    <w:p w14:paraId="222040CF">
      <w:pPr>
        <w:pStyle w:val="39"/>
        <w:keepNext w:val="0"/>
        <w:keepLines w:val="0"/>
        <w:pageBreakBefore w:val="0"/>
        <w:widowControl/>
        <w:kinsoku/>
        <w:wordWrap/>
        <w:overflowPunct/>
        <w:topLinePunct w:val="0"/>
        <w:autoSpaceDE/>
        <w:autoSpaceDN/>
        <w:bidi w:val="0"/>
        <w:adjustRightInd/>
        <w:snapToGrid/>
        <w:spacing w:line="288" w:lineRule="auto"/>
        <w:jc w:val="right"/>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2017年8月22日</w:t>
      </w:r>
    </w:p>
    <w:p w14:paraId="19E92208">
      <w:pPr>
        <w:pStyle w:val="39"/>
        <w:spacing w:line="340" w:lineRule="exact"/>
        <w:jc w:val="center"/>
        <w:textAlignment w:val="baseline"/>
        <w:rPr>
          <w:rFonts w:hint="eastAsia" w:ascii="宋体" w:hAnsi="宋体" w:eastAsia="宋体" w:cs="宋体"/>
          <w:color w:val="auto"/>
          <w:sz w:val="21"/>
          <w:szCs w:val="21"/>
          <w:highlight w:val="none"/>
          <w:shd w:val="clear" w:color="auto" w:fill="FFFFFF"/>
        </w:rPr>
      </w:pPr>
    </w:p>
    <w:p w14:paraId="35CC5FAD">
      <w:pPr>
        <w:pStyle w:val="39"/>
        <w:spacing w:line="340" w:lineRule="exact"/>
        <w:jc w:val="center"/>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br w:type="page"/>
      </w:r>
    </w:p>
    <w:p w14:paraId="2C87BD89">
      <w:pPr>
        <w:pStyle w:val="39"/>
        <w:spacing w:line="340" w:lineRule="exact"/>
        <w:jc w:val="center"/>
        <w:textAlignment w:val="baseline"/>
        <w:rPr>
          <w:rFonts w:hint="eastAsia" w:ascii="宋体" w:hAnsi="宋体" w:eastAsia="宋体" w:cs="宋体"/>
          <w:color w:val="auto"/>
          <w:sz w:val="21"/>
          <w:szCs w:val="21"/>
          <w:highlight w:val="none"/>
          <w:shd w:val="clear" w:color="auto" w:fill="FFFFFF"/>
        </w:rPr>
      </w:pPr>
    </w:p>
    <w:p w14:paraId="0C1407FD">
      <w:pPr>
        <w:pStyle w:val="5"/>
        <w:keepNext w:val="0"/>
        <w:keepLines w:val="0"/>
        <w:pageBreakBefore w:val="0"/>
        <w:widowControl/>
        <w:kinsoku/>
        <w:wordWrap/>
        <w:overflowPunct/>
        <w:topLinePunct w:val="0"/>
        <w:autoSpaceDE/>
        <w:autoSpaceDN/>
        <w:bidi w:val="0"/>
        <w:adjustRightInd/>
        <w:snapToGrid/>
        <w:spacing w:before="120" w:beforeLines="50" w:after="120" w:afterLines="50" w:line="288" w:lineRule="auto"/>
        <w:jc w:val="center"/>
        <w:textAlignment w:val="baseline"/>
        <w:rPr>
          <w:rFonts w:hint="eastAsia" w:ascii="宋体" w:hAnsi="宋体" w:eastAsia="宋体" w:cs="宋体"/>
          <w:b/>
          <w:bCs w:val="0"/>
          <w:color w:val="auto"/>
          <w:sz w:val="24"/>
          <w:szCs w:val="24"/>
          <w:highlight w:val="none"/>
          <w:shd w:val="clear" w:color="auto" w:fill="FFFFFF"/>
          <w:lang w:val="en-US" w:eastAsia="zh-CN"/>
        </w:rPr>
      </w:pPr>
      <w:r>
        <w:rPr>
          <w:rFonts w:hint="eastAsia" w:ascii="宋体" w:hAnsi="宋体" w:eastAsia="宋体" w:cs="宋体"/>
          <w:b/>
          <w:bCs w:val="0"/>
          <w:color w:val="auto"/>
          <w:sz w:val="24"/>
          <w:szCs w:val="24"/>
          <w:highlight w:val="none"/>
          <w:shd w:val="clear" w:color="auto" w:fill="FFFFFF"/>
          <w:lang w:val="en-US" w:eastAsia="zh-CN"/>
        </w:rPr>
        <w:t>《统计上大中小微型企业划分办法（2017）》修订说明</w:t>
      </w:r>
    </w:p>
    <w:p w14:paraId="3B7DAE1F">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一、修订背景</w:t>
      </w:r>
    </w:p>
    <w:p w14:paraId="5760C882">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6D45B3AD">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380BF64D">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二、修订主要内容</w:t>
      </w:r>
    </w:p>
    <w:p w14:paraId="31DC6CBF">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414563DF">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将交通运输业中包括的“装卸搬运和运输代理业”修改为“多式联运和运输代理业、装卸搬运”。</w:t>
      </w:r>
    </w:p>
    <w:p w14:paraId="4602659F">
      <w:pPr>
        <w:keepNext w:val="0"/>
        <w:keepLines w:val="0"/>
        <w:pageBreakBefore w:val="0"/>
        <w:widowControl/>
        <w:kinsoku/>
        <w:wordWrap/>
        <w:overflowPunct/>
        <w:topLinePunct w:val="0"/>
        <w:autoSpaceDE/>
        <w:autoSpaceDN/>
        <w:bidi w:val="0"/>
        <w:adjustRightInd/>
        <w:snapToGrid/>
        <w:spacing w:line="288" w:lineRule="auto"/>
        <w:ind w:firstLine="512" w:firstLineChars="200"/>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仓储业所包括的行业中类，根据《国民经济行业分类》</w:t>
      </w:r>
      <w:r>
        <w:rPr>
          <w:rFonts w:hint="eastAsia" w:ascii="宋体" w:hAnsi="宋体" w:eastAsia="宋体" w:cs="宋体"/>
          <w:color w:val="auto"/>
          <w:sz w:val="24"/>
          <w:szCs w:val="24"/>
          <w:highlight w:val="none"/>
        </w:rPr>
        <w:t>（GB/T 4754—2017）</w:t>
      </w:r>
      <w:r>
        <w:rPr>
          <w:rFonts w:hint="eastAsia" w:ascii="宋体" w:hAnsi="宋体" w:eastAsia="宋体" w:cs="宋体"/>
          <w:color w:val="auto"/>
          <w:spacing w:val="8"/>
          <w:sz w:val="24"/>
          <w:szCs w:val="24"/>
          <w:highlight w:val="none"/>
        </w:rPr>
        <w:t>调整为“通用仓储，低温仓储，危险品仓储，谷物、棉花等农产品仓储，中药材仓储和其他仓储业”。</w:t>
      </w:r>
    </w:p>
    <w:p w14:paraId="392D9530">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w:t>
      </w:r>
    </w:p>
    <w:p w14:paraId="37B87A4E">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统计上大中小微型企业划分标准</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242"/>
        <w:gridCol w:w="795"/>
        <w:gridCol w:w="1275"/>
        <w:gridCol w:w="1499"/>
        <w:gridCol w:w="1399"/>
        <w:gridCol w:w="973"/>
      </w:tblGrid>
      <w:tr w14:paraId="579A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exact"/>
          <w:jc w:val="center"/>
        </w:trPr>
        <w:tc>
          <w:tcPr>
            <w:tcW w:w="2074" w:type="dxa"/>
            <w:vAlign w:val="center"/>
          </w:tcPr>
          <w:p w14:paraId="14751683">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行业名称</w:t>
            </w:r>
          </w:p>
        </w:tc>
        <w:tc>
          <w:tcPr>
            <w:tcW w:w="1242" w:type="dxa"/>
            <w:vAlign w:val="center"/>
          </w:tcPr>
          <w:p w14:paraId="7673D58E">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指标名称</w:t>
            </w:r>
          </w:p>
        </w:tc>
        <w:tc>
          <w:tcPr>
            <w:tcW w:w="795" w:type="dxa"/>
            <w:vAlign w:val="center"/>
          </w:tcPr>
          <w:p w14:paraId="15DEF54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计量</w:t>
            </w:r>
          </w:p>
          <w:p w14:paraId="233982F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275" w:type="dxa"/>
            <w:vAlign w:val="center"/>
          </w:tcPr>
          <w:p w14:paraId="619B2D82">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大型</w:t>
            </w:r>
          </w:p>
        </w:tc>
        <w:tc>
          <w:tcPr>
            <w:tcW w:w="1499" w:type="dxa"/>
            <w:vAlign w:val="center"/>
          </w:tcPr>
          <w:p w14:paraId="3F6CE4E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中型</w:t>
            </w:r>
          </w:p>
        </w:tc>
        <w:tc>
          <w:tcPr>
            <w:tcW w:w="1399" w:type="dxa"/>
            <w:vAlign w:val="center"/>
          </w:tcPr>
          <w:p w14:paraId="2EBE6A1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小型</w:t>
            </w:r>
          </w:p>
        </w:tc>
        <w:tc>
          <w:tcPr>
            <w:tcW w:w="973" w:type="dxa"/>
            <w:vAlign w:val="center"/>
          </w:tcPr>
          <w:p w14:paraId="40F83D60">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微型</w:t>
            </w:r>
          </w:p>
        </w:tc>
      </w:tr>
      <w:tr w14:paraId="4057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2074" w:type="dxa"/>
            <w:vAlign w:val="center"/>
          </w:tcPr>
          <w:p w14:paraId="65518775">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农、林、牧、渔业</w:t>
            </w:r>
          </w:p>
        </w:tc>
        <w:tc>
          <w:tcPr>
            <w:tcW w:w="1242" w:type="dxa"/>
            <w:vAlign w:val="center"/>
          </w:tcPr>
          <w:p w14:paraId="23C241C0">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营业收入(Y)</w:t>
            </w:r>
          </w:p>
        </w:tc>
        <w:tc>
          <w:tcPr>
            <w:tcW w:w="795" w:type="dxa"/>
            <w:vAlign w:val="center"/>
          </w:tcPr>
          <w:p w14:paraId="5A29354A">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万元</w:t>
            </w:r>
          </w:p>
        </w:tc>
        <w:tc>
          <w:tcPr>
            <w:tcW w:w="1275" w:type="dxa"/>
            <w:vAlign w:val="center"/>
          </w:tcPr>
          <w:p w14:paraId="02F3CC93">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Y≥20000</w:t>
            </w:r>
          </w:p>
        </w:tc>
        <w:tc>
          <w:tcPr>
            <w:tcW w:w="1499" w:type="dxa"/>
            <w:vAlign w:val="center"/>
          </w:tcPr>
          <w:p w14:paraId="5D2699F1">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500≤Y＜20000</w:t>
            </w:r>
          </w:p>
        </w:tc>
        <w:tc>
          <w:tcPr>
            <w:tcW w:w="1399" w:type="dxa"/>
            <w:vAlign w:val="center"/>
          </w:tcPr>
          <w:p w14:paraId="2A8BD77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50≤Y＜500</w:t>
            </w:r>
          </w:p>
        </w:tc>
        <w:tc>
          <w:tcPr>
            <w:tcW w:w="973" w:type="dxa"/>
            <w:vAlign w:val="center"/>
          </w:tcPr>
          <w:p w14:paraId="6C23387C">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Y＜50</w:t>
            </w:r>
          </w:p>
        </w:tc>
      </w:tr>
      <w:tr w14:paraId="74DC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2074" w:type="dxa"/>
            <w:vMerge w:val="restart"/>
            <w:vAlign w:val="center"/>
          </w:tcPr>
          <w:p w14:paraId="43B0AE82">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工业 *</w:t>
            </w:r>
          </w:p>
        </w:tc>
        <w:tc>
          <w:tcPr>
            <w:tcW w:w="1242" w:type="dxa"/>
            <w:vAlign w:val="center"/>
          </w:tcPr>
          <w:p w14:paraId="59E088F3">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从业人员(X)</w:t>
            </w:r>
          </w:p>
        </w:tc>
        <w:tc>
          <w:tcPr>
            <w:tcW w:w="795" w:type="dxa"/>
            <w:vAlign w:val="center"/>
          </w:tcPr>
          <w:p w14:paraId="3C77966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w:t>
            </w:r>
          </w:p>
        </w:tc>
        <w:tc>
          <w:tcPr>
            <w:tcW w:w="1275" w:type="dxa"/>
            <w:vAlign w:val="center"/>
          </w:tcPr>
          <w:p w14:paraId="49B7FA91">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X≥1000</w:t>
            </w:r>
          </w:p>
        </w:tc>
        <w:tc>
          <w:tcPr>
            <w:tcW w:w="1499" w:type="dxa"/>
            <w:vAlign w:val="center"/>
          </w:tcPr>
          <w:p w14:paraId="6E24768E">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300≤X＜1000</w:t>
            </w:r>
          </w:p>
        </w:tc>
        <w:tc>
          <w:tcPr>
            <w:tcW w:w="1399" w:type="dxa"/>
            <w:vAlign w:val="center"/>
          </w:tcPr>
          <w:p w14:paraId="467FF77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20≤X＜300</w:t>
            </w:r>
          </w:p>
        </w:tc>
        <w:tc>
          <w:tcPr>
            <w:tcW w:w="973" w:type="dxa"/>
            <w:vAlign w:val="center"/>
          </w:tcPr>
          <w:p w14:paraId="0A3AB307">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X＜20</w:t>
            </w:r>
          </w:p>
        </w:tc>
      </w:tr>
      <w:tr w14:paraId="18BC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2074" w:type="dxa"/>
            <w:vMerge w:val="continue"/>
            <w:vAlign w:val="center"/>
          </w:tcPr>
          <w:p w14:paraId="5C25C147">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p>
        </w:tc>
        <w:tc>
          <w:tcPr>
            <w:tcW w:w="1242" w:type="dxa"/>
            <w:vAlign w:val="center"/>
          </w:tcPr>
          <w:p w14:paraId="73A39CEA">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营业收入(Y)</w:t>
            </w:r>
          </w:p>
        </w:tc>
        <w:tc>
          <w:tcPr>
            <w:tcW w:w="795" w:type="dxa"/>
            <w:vAlign w:val="center"/>
          </w:tcPr>
          <w:p w14:paraId="6096524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万元</w:t>
            </w:r>
          </w:p>
        </w:tc>
        <w:tc>
          <w:tcPr>
            <w:tcW w:w="1275" w:type="dxa"/>
            <w:vAlign w:val="center"/>
          </w:tcPr>
          <w:p w14:paraId="114B7E1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Y≥40000</w:t>
            </w:r>
          </w:p>
        </w:tc>
        <w:tc>
          <w:tcPr>
            <w:tcW w:w="1499" w:type="dxa"/>
            <w:vAlign w:val="center"/>
          </w:tcPr>
          <w:p w14:paraId="5889B8E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2000≤Y＜40000</w:t>
            </w:r>
          </w:p>
        </w:tc>
        <w:tc>
          <w:tcPr>
            <w:tcW w:w="1399" w:type="dxa"/>
            <w:vAlign w:val="center"/>
          </w:tcPr>
          <w:p w14:paraId="5166F64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300≤Y＜2000</w:t>
            </w:r>
          </w:p>
        </w:tc>
        <w:tc>
          <w:tcPr>
            <w:tcW w:w="973" w:type="dxa"/>
            <w:vAlign w:val="center"/>
          </w:tcPr>
          <w:p w14:paraId="379F8622">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Y＜300</w:t>
            </w:r>
          </w:p>
        </w:tc>
      </w:tr>
      <w:tr w14:paraId="43FF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2074" w:type="dxa"/>
            <w:vMerge w:val="restart"/>
            <w:vAlign w:val="center"/>
          </w:tcPr>
          <w:p w14:paraId="726530EC">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建筑业</w:t>
            </w:r>
          </w:p>
        </w:tc>
        <w:tc>
          <w:tcPr>
            <w:tcW w:w="1242" w:type="dxa"/>
            <w:vAlign w:val="center"/>
          </w:tcPr>
          <w:p w14:paraId="08D7F221">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营业收入(Y)</w:t>
            </w:r>
          </w:p>
        </w:tc>
        <w:tc>
          <w:tcPr>
            <w:tcW w:w="795" w:type="dxa"/>
            <w:vAlign w:val="center"/>
          </w:tcPr>
          <w:p w14:paraId="30EFE8E2">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万元</w:t>
            </w:r>
          </w:p>
        </w:tc>
        <w:tc>
          <w:tcPr>
            <w:tcW w:w="1275" w:type="dxa"/>
            <w:vAlign w:val="center"/>
          </w:tcPr>
          <w:p w14:paraId="79B63EE5">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Y≥80000</w:t>
            </w:r>
          </w:p>
        </w:tc>
        <w:tc>
          <w:tcPr>
            <w:tcW w:w="1499" w:type="dxa"/>
            <w:vAlign w:val="center"/>
          </w:tcPr>
          <w:p w14:paraId="0E8E7A80">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6000≤Y＜80000</w:t>
            </w:r>
          </w:p>
        </w:tc>
        <w:tc>
          <w:tcPr>
            <w:tcW w:w="1399" w:type="dxa"/>
            <w:vAlign w:val="center"/>
          </w:tcPr>
          <w:p w14:paraId="7BBAE572">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300≤Y＜6000</w:t>
            </w:r>
          </w:p>
        </w:tc>
        <w:tc>
          <w:tcPr>
            <w:tcW w:w="973" w:type="dxa"/>
            <w:vAlign w:val="center"/>
          </w:tcPr>
          <w:p w14:paraId="4C1D6065">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Y＜300</w:t>
            </w:r>
          </w:p>
        </w:tc>
      </w:tr>
      <w:tr w14:paraId="18D7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jc w:val="center"/>
        </w:trPr>
        <w:tc>
          <w:tcPr>
            <w:tcW w:w="2074" w:type="dxa"/>
            <w:vMerge w:val="continue"/>
            <w:vAlign w:val="center"/>
          </w:tcPr>
          <w:p w14:paraId="0A76A098">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p>
        </w:tc>
        <w:tc>
          <w:tcPr>
            <w:tcW w:w="1242" w:type="dxa"/>
            <w:vAlign w:val="center"/>
          </w:tcPr>
          <w:p w14:paraId="669FF36D">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资产总额(Z)</w:t>
            </w:r>
          </w:p>
        </w:tc>
        <w:tc>
          <w:tcPr>
            <w:tcW w:w="795" w:type="dxa"/>
            <w:vAlign w:val="center"/>
          </w:tcPr>
          <w:p w14:paraId="5963E1D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万元</w:t>
            </w:r>
          </w:p>
        </w:tc>
        <w:tc>
          <w:tcPr>
            <w:tcW w:w="1275" w:type="dxa"/>
            <w:vAlign w:val="center"/>
          </w:tcPr>
          <w:p w14:paraId="7F53356A">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Z≥80000</w:t>
            </w:r>
          </w:p>
        </w:tc>
        <w:tc>
          <w:tcPr>
            <w:tcW w:w="1499" w:type="dxa"/>
            <w:vAlign w:val="center"/>
          </w:tcPr>
          <w:p w14:paraId="422BC69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5000≤Z＜80000</w:t>
            </w:r>
          </w:p>
        </w:tc>
        <w:tc>
          <w:tcPr>
            <w:tcW w:w="1399" w:type="dxa"/>
            <w:vAlign w:val="center"/>
          </w:tcPr>
          <w:p w14:paraId="2593FD8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300≤Z＜5000</w:t>
            </w:r>
          </w:p>
        </w:tc>
        <w:tc>
          <w:tcPr>
            <w:tcW w:w="973" w:type="dxa"/>
            <w:vAlign w:val="center"/>
          </w:tcPr>
          <w:p w14:paraId="4460BE83">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Z＜300</w:t>
            </w:r>
          </w:p>
        </w:tc>
      </w:tr>
      <w:tr w14:paraId="45A9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2074" w:type="dxa"/>
            <w:vMerge w:val="restart"/>
            <w:vAlign w:val="center"/>
          </w:tcPr>
          <w:p w14:paraId="6BAD533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批发业</w:t>
            </w:r>
          </w:p>
        </w:tc>
        <w:tc>
          <w:tcPr>
            <w:tcW w:w="1242" w:type="dxa"/>
            <w:vAlign w:val="center"/>
          </w:tcPr>
          <w:p w14:paraId="44D6635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从业人员(X)</w:t>
            </w:r>
          </w:p>
        </w:tc>
        <w:tc>
          <w:tcPr>
            <w:tcW w:w="795" w:type="dxa"/>
            <w:vAlign w:val="center"/>
          </w:tcPr>
          <w:p w14:paraId="16CBEBA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w:t>
            </w:r>
          </w:p>
        </w:tc>
        <w:tc>
          <w:tcPr>
            <w:tcW w:w="1275" w:type="dxa"/>
            <w:vAlign w:val="center"/>
          </w:tcPr>
          <w:p w14:paraId="2B0565F0">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X≥200</w:t>
            </w:r>
          </w:p>
        </w:tc>
        <w:tc>
          <w:tcPr>
            <w:tcW w:w="1499" w:type="dxa"/>
            <w:vAlign w:val="center"/>
          </w:tcPr>
          <w:p w14:paraId="321BADA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20≤X＜200</w:t>
            </w:r>
          </w:p>
        </w:tc>
        <w:tc>
          <w:tcPr>
            <w:tcW w:w="1399" w:type="dxa"/>
            <w:vAlign w:val="center"/>
          </w:tcPr>
          <w:p w14:paraId="64B0946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5≤X＜20</w:t>
            </w:r>
          </w:p>
        </w:tc>
        <w:tc>
          <w:tcPr>
            <w:tcW w:w="973" w:type="dxa"/>
            <w:vAlign w:val="center"/>
          </w:tcPr>
          <w:p w14:paraId="2174D1A2">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X＜5</w:t>
            </w:r>
          </w:p>
        </w:tc>
      </w:tr>
      <w:tr w14:paraId="541E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2074" w:type="dxa"/>
            <w:vMerge w:val="continue"/>
            <w:vAlign w:val="center"/>
          </w:tcPr>
          <w:p w14:paraId="1D1D577C">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p>
        </w:tc>
        <w:tc>
          <w:tcPr>
            <w:tcW w:w="1242" w:type="dxa"/>
            <w:vAlign w:val="center"/>
          </w:tcPr>
          <w:p w14:paraId="3DF8C9D7">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营业收入(Y)</w:t>
            </w:r>
          </w:p>
        </w:tc>
        <w:tc>
          <w:tcPr>
            <w:tcW w:w="795" w:type="dxa"/>
            <w:vAlign w:val="center"/>
          </w:tcPr>
          <w:p w14:paraId="602FD29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万元</w:t>
            </w:r>
          </w:p>
        </w:tc>
        <w:tc>
          <w:tcPr>
            <w:tcW w:w="1275" w:type="dxa"/>
            <w:vAlign w:val="center"/>
          </w:tcPr>
          <w:p w14:paraId="61F43B83">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Y≥40000</w:t>
            </w:r>
          </w:p>
        </w:tc>
        <w:tc>
          <w:tcPr>
            <w:tcW w:w="1499" w:type="dxa"/>
            <w:vAlign w:val="center"/>
          </w:tcPr>
          <w:p w14:paraId="543061D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5000≤Y＜40000</w:t>
            </w:r>
          </w:p>
        </w:tc>
        <w:tc>
          <w:tcPr>
            <w:tcW w:w="1399" w:type="dxa"/>
            <w:vAlign w:val="center"/>
          </w:tcPr>
          <w:p w14:paraId="3DFE1922">
            <w:pPr>
              <w:keepNext w:val="0"/>
              <w:keepLines w:val="0"/>
              <w:pageBreakBefore w:val="0"/>
              <w:widowControl/>
              <w:kinsoku/>
              <w:wordWrap/>
              <w:overflowPunct/>
              <w:topLinePunct w:val="0"/>
              <w:autoSpaceDE/>
              <w:autoSpaceDN/>
              <w:bidi w:val="0"/>
              <w:adjustRightInd/>
              <w:snapToGrid/>
              <w:spacing w:line="288" w:lineRule="auto"/>
              <w:ind w:left="-1" w:leftChars="-1" w:hanging="1"/>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1000≤Y＜5000</w:t>
            </w:r>
          </w:p>
        </w:tc>
        <w:tc>
          <w:tcPr>
            <w:tcW w:w="973" w:type="dxa"/>
            <w:vAlign w:val="center"/>
          </w:tcPr>
          <w:p w14:paraId="51FA2653">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Y＜1000</w:t>
            </w:r>
          </w:p>
        </w:tc>
      </w:tr>
      <w:tr w14:paraId="4293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2074" w:type="dxa"/>
            <w:vMerge w:val="restart"/>
            <w:vAlign w:val="center"/>
          </w:tcPr>
          <w:p w14:paraId="0507392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零售业</w:t>
            </w:r>
          </w:p>
        </w:tc>
        <w:tc>
          <w:tcPr>
            <w:tcW w:w="1242" w:type="dxa"/>
            <w:vAlign w:val="center"/>
          </w:tcPr>
          <w:p w14:paraId="00355DF5">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从业人员(X)</w:t>
            </w:r>
          </w:p>
        </w:tc>
        <w:tc>
          <w:tcPr>
            <w:tcW w:w="795" w:type="dxa"/>
            <w:vAlign w:val="center"/>
          </w:tcPr>
          <w:p w14:paraId="356BA767">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w:t>
            </w:r>
          </w:p>
        </w:tc>
        <w:tc>
          <w:tcPr>
            <w:tcW w:w="1275" w:type="dxa"/>
            <w:vAlign w:val="center"/>
          </w:tcPr>
          <w:p w14:paraId="236EB4D8">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X≥300</w:t>
            </w:r>
          </w:p>
        </w:tc>
        <w:tc>
          <w:tcPr>
            <w:tcW w:w="1499" w:type="dxa"/>
            <w:vAlign w:val="center"/>
          </w:tcPr>
          <w:p w14:paraId="7EDE30C5">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50≤X＜300</w:t>
            </w:r>
          </w:p>
        </w:tc>
        <w:tc>
          <w:tcPr>
            <w:tcW w:w="1399" w:type="dxa"/>
            <w:vAlign w:val="center"/>
          </w:tcPr>
          <w:p w14:paraId="73100859">
            <w:pPr>
              <w:keepNext w:val="0"/>
              <w:keepLines w:val="0"/>
              <w:pageBreakBefore w:val="0"/>
              <w:widowControl/>
              <w:kinsoku/>
              <w:wordWrap/>
              <w:overflowPunct/>
              <w:topLinePunct w:val="0"/>
              <w:autoSpaceDE/>
              <w:autoSpaceDN/>
              <w:bidi w:val="0"/>
              <w:adjustRightInd/>
              <w:snapToGrid/>
              <w:spacing w:line="288" w:lineRule="auto"/>
              <w:ind w:left="-1" w:leftChars="-1" w:hanging="1"/>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10≤X＜50 </w:t>
            </w:r>
          </w:p>
        </w:tc>
        <w:tc>
          <w:tcPr>
            <w:tcW w:w="973" w:type="dxa"/>
            <w:vAlign w:val="center"/>
          </w:tcPr>
          <w:p w14:paraId="6D27CBB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X＜10</w:t>
            </w:r>
          </w:p>
        </w:tc>
      </w:tr>
      <w:tr w14:paraId="124A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2074" w:type="dxa"/>
            <w:vMerge w:val="continue"/>
            <w:vAlign w:val="center"/>
          </w:tcPr>
          <w:p w14:paraId="730D5FC5">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p>
        </w:tc>
        <w:tc>
          <w:tcPr>
            <w:tcW w:w="1242" w:type="dxa"/>
            <w:vAlign w:val="center"/>
          </w:tcPr>
          <w:p w14:paraId="082CD8B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营业收入(Y)</w:t>
            </w:r>
          </w:p>
        </w:tc>
        <w:tc>
          <w:tcPr>
            <w:tcW w:w="795" w:type="dxa"/>
            <w:vAlign w:val="center"/>
          </w:tcPr>
          <w:p w14:paraId="2102AE43">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万元</w:t>
            </w:r>
          </w:p>
        </w:tc>
        <w:tc>
          <w:tcPr>
            <w:tcW w:w="1275" w:type="dxa"/>
            <w:vAlign w:val="center"/>
          </w:tcPr>
          <w:p w14:paraId="57AFB1C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Y≥20000</w:t>
            </w:r>
          </w:p>
        </w:tc>
        <w:tc>
          <w:tcPr>
            <w:tcW w:w="1499" w:type="dxa"/>
            <w:vAlign w:val="center"/>
          </w:tcPr>
          <w:p w14:paraId="31994E4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500≤Y＜20000</w:t>
            </w:r>
          </w:p>
        </w:tc>
        <w:tc>
          <w:tcPr>
            <w:tcW w:w="1399" w:type="dxa"/>
            <w:vAlign w:val="center"/>
          </w:tcPr>
          <w:p w14:paraId="33193A16">
            <w:pPr>
              <w:keepNext w:val="0"/>
              <w:keepLines w:val="0"/>
              <w:pageBreakBefore w:val="0"/>
              <w:widowControl/>
              <w:kinsoku/>
              <w:wordWrap/>
              <w:overflowPunct/>
              <w:topLinePunct w:val="0"/>
              <w:autoSpaceDE/>
              <w:autoSpaceDN/>
              <w:bidi w:val="0"/>
              <w:adjustRightInd/>
              <w:snapToGrid/>
              <w:spacing w:line="288" w:lineRule="auto"/>
              <w:ind w:left="-1" w:leftChars="-1" w:hanging="1"/>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100≤Y＜500 </w:t>
            </w:r>
          </w:p>
        </w:tc>
        <w:tc>
          <w:tcPr>
            <w:tcW w:w="973" w:type="dxa"/>
            <w:vAlign w:val="center"/>
          </w:tcPr>
          <w:p w14:paraId="7708E6F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Y＜100</w:t>
            </w:r>
          </w:p>
        </w:tc>
      </w:tr>
      <w:tr w14:paraId="23B3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2074" w:type="dxa"/>
            <w:vMerge w:val="restart"/>
            <w:vAlign w:val="center"/>
          </w:tcPr>
          <w:p w14:paraId="3702A03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交通运输业 *</w:t>
            </w:r>
          </w:p>
        </w:tc>
        <w:tc>
          <w:tcPr>
            <w:tcW w:w="1242" w:type="dxa"/>
            <w:vAlign w:val="center"/>
          </w:tcPr>
          <w:p w14:paraId="5016AEA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从业人员(X)</w:t>
            </w:r>
          </w:p>
        </w:tc>
        <w:tc>
          <w:tcPr>
            <w:tcW w:w="795" w:type="dxa"/>
            <w:vAlign w:val="center"/>
          </w:tcPr>
          <w:p w14:paraId="521A5567">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w:t>
            </w:r>
          </w:p>
        </w:tc>
        <w:tc>
          <w:tcPr>
            <w:tcW w:w="1275" w:type="dxa"/>
            <w:vAlign w:val="center"/>
          </w:tcPr>
          <w:p w14:paraId="3259E1C8">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X≥1000</w:t>
            </w:r>
          </w:p>
        </w:tc>
        <w:tc>
          <w:tcPr>
            <w:tcW w:w="1499" w:type="dxa"/>
            <w:vAlign w:val="center"/>
          </w:tcPr>
          <w:p w14:paraId="0D86BA82">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300≤X＜1000</w:t>
            </w:r>
          </w:p>
        </w:tc>
        <w:tc>
          <w:tcPr>
            <w:tcW w:w="1399" w:type="dxa"/>
            <w:vAlign w:val="center"/>
          </w:tcPr>
          <w:p w14:paraId="0074E91E">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20≤X＜300</w:t>
            </w:r>
          </w:p>
        </w:tc>
        <w:tc>
          <w:tcPr>
            <w:tcW w:w="973" w:type="dxa"/>
            <w:vAlign w:val="center"/>
          </w:tcPr>
          <w:p w14:paraId="222BAF4D">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X＜20</w:t>
            </w:r>
          </w:p>
        </w:tc>
      </w:tr>
      <w:tr w14:paraId="56A6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2074" w:type="dxa"/>
            <w:vMerge w:val="continue"/>
            <w:vAlign w:val="center"/>
          </w:tcPr>
          <w:p w14:paraId="663A5FAE">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p>
        </w:tc>
        <w:tc>
          <w:tcPr>
            <w:tcW w:w="1242" w:type="dxa"/>
            <w:vAlign w:val="center"/>
          </w:tcPr>
          <w:p w14:paraId="78B87100">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营业收入(Y)</w:t>
            </w:r>
          </w:p>
        </w:tc>
        <w:tc>
          <w:tcPr>
            <w:tcW w:w="795" w:type="dxa"/>
            <w:vAlign w:val="center"/>
          </w:tcPr>
          <w:p w14:paraId="59A28AE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万元</w:t>
            </w:r>
          </w:p>
        </w:tc>
        <w:tc>
          <w:tcPr>
            <w:tcW w:w="1275" w:type="dxa"/>
            <w:vAlign w:val="center"/>
          </w:tcPr>
          <w:p w14:paraId="07B640E2">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Y≥30000</w:t>
            </w:r>
          </w:p>
        </w:tc>
        <w:tc>
          <w:tcPr>
            <w:tcW w:w="1499" w:type="dxa"/>
            <w:vAlign w:val="center"/>
          </w:tcPr>
          <w:p w14:paraId="54124333">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3000≤Y＜30000</w:t>
            </w:r>
          </w:p>
        </w:tc>
        <w:tc>
          <w:tcPr>
            <w:tcW w:w="1399" w:type="dxa"/>
            <w:vAlign w:val="center"/>
          </w:tcPr>
          <w:p w14:paraId="4EFA56E7">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200≤Y＜3000</w:t>
            </w:r>
          </w:p>
        </w:tc>
        <w:tc>
          <w:tcPr>
            <w:tcW w:w="973" w:type="dxa"/>
            <w:vAlign w:val="center"/>
          </w:tcPr>
          <w:p w14:paraId="66FBEF5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Y＜200</w:t>
            </w:r>
          </w:p>
        </w:tc>
      </w:tr>
      <w:tr w14:paraId="00768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jc w:val="center"/>
        </w:trPr>
        <w:tc>
          <w:tcPr>
            <w:tcW w:w="2074" w:type="dxa"/>
            <w:vMerge w:val="restart"/>
            <w:vAlign w:val="center"/>
          </w:tcPr>
          <w:p w14:paraId="09B8FB4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仓储业*</w:t>
            </w:r>
          </w:p>
        </w:tc>
        <w:tc>
          <w:tcPr>
            <w:tcW w:w="1242" w:type="dxa"/>
            <w:vAlign w:val="center"/>
          </w:tcPr>
          <w:p w14:paraId="613520D3">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从业人员(X)</w:t>
            </w:r>
          </w:p>
        </w:tc>
        <w:tc>
          <w:tcPr>
            <w:tcW w:w="795" w:type="dxa"/>
            <w:vAlign w:val="center"/>
          </w:tcPr>
          <w:p w14:paraId="744F7DA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w:t>
            </w:r>
          </w:p>
        </w:tc>
        <w:tc>
          <w:tcPr>
            <w:tcW w:w="1275" w:type="dxa"/>
            <w:vAlign w:val="center"/>
          </w:tcPr>
          <w:p w14:paraId="7A5E35A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X≥200</w:t>
            </w:r>
          </w:p>
        </w:tc>
        <w:tc>
          <w:tcPr>
            <w:tcW w:w="1499" w:type="dxa"/>
            <w:vAlign w:val="center"/>
          </w:tcPr>
          <w:p w14:paraId="6DFF605C">
            <w:pPr>
              <w:keepNext w:val="0"/>
              <w:keepLines w:val="0"/>
              <w:pageBreakBefore w:val="0"/>
              <w:widowControl/>
              <w:kinsoku/>
              <w:wordWrap/>
              <w:overflowPunct/>
              <w:topLinePunct w:val="0"/>
              <w:autoSpaceDE/>
              <w:autoSpaceDN/>
              <w:bidi w:val="0"/>
              <w:adjustRightInd/>
              <w:snapToGrid/>
              <w:spacing w:line="288" w:lineRule="auto"/>
              <w:ind w:left="43" w:leftChars="-51" w:hanging="145" w:hangingChars="6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100≤X＜200</w:t>
            </w:r>
          </w:p>
        </w:tc>
        <w:tc>
          <w:tcPr>
            <w:tcW w:w="1399" w:type="dxa"/>
            <w:vAlign w:val="center"/>
          </w:tcPr>
          <w:p w14:paraId="3AF2AEFE">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20≤X＜100</w:t>
            </w:r>
          </w:p>
        </w:tc>
        <w:tc>
          <w:tcPr>
            <w:tcW w:w="973" w:type="dxa"/>
            <w:vAlign w:val="center"/>
          </w:tcPr>
          <w:p w14:paraId="4D58187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X＜20</w:t>
            </w:r>
          </w:p>
        </w:tc>
      </w:tr>
      <w:tr w14:paraId="040F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jc w:val="center"/>
        </w:trPr>
        <w:tc>
          <w:tcPr>
            <w:tcW w:w="2074" w:type="dxa"/>
            <w:vMerge w:val="continue"/>
            <w:vAlign w:val="center"/>
          </w:tcPr>
          <w:p w14:paraId="5D15C9EE">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p>
        </w:tc>
        <w:tc>
          <w:tcPr>
            <w:tcW w:w="1242" w:type="dxa"/>
            <w:vAlign w:val="center"/>
          </w:tcPr>
          <w:p w14:paraId="152EDAA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营业收入(Y)</w:t>
            </w:r>
          </w:p>
        </w:tc>
        <w:tc>
          <w:tcPr>
            <w:tcW w:w="795" w:type="dxa"/>
            <w:vAlign w:val="center"/>
          </w:tcPr>
          <w:p w14:paraId="4C920B7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万元</w:t>
            </w:r>
          </w:p>
        </w:tc>
        <w:tc>
          <w:tcPr>
            <w:tcW w:w="1275" w:type="dxa"/>
            <w:vAlign w:val="center"/>
          </w:tcPr>
          <w:p w14:paraId="31FF6B13">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Y≥30000</w:t>
            </w:r>
          </w:p>
        </w:tc>
        <w:tc>
          <w:tcPr>
            <w:tcW w:w="1499" w:type="dxa"/>
            <w:vAlign w:val="center"/>
          </w:tcPr>
          <w:p w14:paraId="3F8C665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1000≤Y＜30000</w:t>
            </w:r>
          </w:p>
        </w:tc>
        <w:tc>
          <w:tcPr>
            <w:tcW w:w="1399" w:type="dxa"/>
            <w:vAlign w:val="center"/>
          </w:tcPr>
          <w:p w14:paraId="6BEBC0D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100≤Y＜1000</w:t>
            </w:r>
          </w:p>
        </w:tc>
        <w:tc>
          <w:tcPr>
            <w:tcW w:w="973" w:type="dxa"/>
            <w:vAlign w:val="center"/>
          </w:tcPr>
          <w:p w14:paraId="56E1158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Y＜100</w:t>
            </w:r>
          </w:p>
        </w:tc>
      </w:tr>
      <w:tr w14:paraId="62ED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jc w:val="center"/>
        </w:trPr>
        <w:tc>
          <w:tcPr>
            <w:tcW w:w="2074" w:type="dxa"/>
            <w:vMerge w:val="restart"/>
            <w:vAlign w:val="center"/>
          </w:tcPr>
          <w:p w14:paraId="71F11367">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邮政业</w:t>
            </w:r>
          </w:p>
        </w:tc>
        <w:tc>
          <w:tcPr>
            <w:tcW w:w="1242" w:type="dxa"/>
            <w:vAlign w:val="center"/>
          </w:tcPr>
          <w:p w14:paraId="1B537618">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从业人员(X)</w:t>
            </w:r>
          </w:p>
        </w:tc>
        <w:tc>
          <w:tcPr>
            <w:tcW w:w="795" w:type="dxa"/>
            <w:vAlign w:val="center"/>
          </w:tcPr>
          <w:p w14:paraId="2E4834F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w:t>
            </w:r>
          </w:p>
        </w:tc>
        <w:tc>
          <w:tcPr>
            <w:tcW w:w="1275" w:type="dxa"/>
            <w:vAlign w:val="center"/>
          </w:tcPr>
          <w:p w14:paraId="0FF92C9D">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X≥1000</w:t>
            </w:r>
          </w:p>
        </w:tc>
        <w:tc>
          <w:tcPr>
            <w:tcW w:w="1499" w:type="dxa"/>
            <w:vAlign w:val="center"/>
          </w:tcPr>
          <w:p w14:paraId="2A3C554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300≤X＜1000</w:t>
            </w:r>
          </w:p>
        </w:tc>
        <w:tc>
          <w:tcPr>
            <w:tcW w:w="1399" w:type="dxa"/>
            <w:vAlign w:val="center"/>
          </w:tcPr>
          <w:p w14:paraId="5AAFBFA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20≤X＜300</w:t>
            </w:r>
          </w:p>
        </w:tc>
        <w:tc>
          <w:tcPr>
            <w:tcW w:w="973" w:type="dxa"/>
            <w:vAlign w:val="center"/>
          </w:tcPr>
          <w:p w14:paraId="310DC11C">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X＜20</w:t>
            </w:r>
          </w:p>
        </w:tc>
      </w:tr>
      <w:tr w14:paraId="0A50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jc w:val="center"/>
        </w:trPr>
        <w:tc>
          <w:tcPr>
            <w:tcW w:w="2074" w:type="dxa"/>
            <w:vMerge w:val="continue"/>
            <w:vAlign w:val="center"/>
          </w:tcPr>
          <w:p w14:paraId="60C9D327">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p>
        </w:tc>
        <w:tc>
          <w:tcPr>
            <w:tcW w:w="1242" w:type="dxa"/>
            <w:vAlign w:val="center"/>
          </w:tcPr>
          <w:p w14:paraId="3AE408E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营业收入(Y)</w:t>
            </w:r>
          </w:p>
        </w:tc>
        <w:tc>
          <w:tcPr>
            <w:tcW w:w="795" w:type="dxa"/>
            <w:vAlign w:val="center"/>
          </w:tcPr>
          <w:p w14:paraId="0C4D2227">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万元</w:t>
            </w:r>
          </w:p>
        </w:tc>
        <w:tc>
          <w:tcPr>
            <w:tcW w:w="1275" w:type="dxa"/>
            <w:vAlign w:val="center"/>
          </w:tcPr>
          <w:p w14:paraId="237E2775">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Y≥30000</w:t>
            </w:r>
          </w:p>
        </w:tc>
        <w:tc>
          <w:tcPr>
            <w:tcW w:w="1499" w:type="dxa"/>
            <w:vAlign w:val="center"/>
          </w:tcPr>
          <w:p w14:paraId="4C60950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2000≤Y＜30000</w:t>
            </w:r>
          </w:p>
        </w:tc>
        <w:tc>
          <w:tcPr>
            <w:tcW w:w="1399" w:type="dxa"/>
            <w:vAlign w:val="center"/>
          </w:tcPr>
          <w:p w14:paraId="20A44FC8">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100≤Y＜2000</w:t>
            </w:r>
          </w:p>
        </w:tc>
        <w:tc>
          <w:tcPr>
            <w:tcW w:w="973" w:type="dxa"/>
            <w:vAlign w:val="center"/>
          </w:tcPr>
          <w:p w14:paraId="39197AB3">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Y＜100</w:t>
            </w:r>
          </w:p>
        </w:tc>
      </w:tr>
      <w:tr w14:paraId="1E8B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2074" w:type="dxa"/>
            <w:vMerge w:val="restart"/>
            <w:vAlign w:val="center"/>
          </w:tcPr>
          <w:p w14:paraId="318C46C8">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住宿业</w:t>
            </w:r>
          </w:p>
        </w:tc>
        <w:tc>
          <w:tcPr>
            <w:tcW w:w="1242" w:type="dxa"/>
            <w:vAlign w:val="center"/>
          </w:tcPr>
          <w:p w14:paraId="36F0F7D1">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从业人员(X)</w:t>
            </w:r>
          </w:p>
        </w:tc>
        <w:tc>
          <w:tcPr>
            <w:tcW w:w="795" w:type="dxa"/>
            <w:vAlign w:val="center"/>
          </w:tcPr>
          <w:p w14:paraId="35B9115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w:t>
            </w:r>
          </w:p>
        </w:tc>
        <w:tc>
          <w:tcPr>
            <w:tcW w:w="1275" w:type="dxa"/>
            <w:vAlign w:val="center"/>
          </w:tcPr>
          <w:p w14:paraId="65DE89E8">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X≥300</w:t>
            </w:r>
          </w:p>
        </w:tc>
        <w:tc>
          <w:tcPr>
            <w:tcW w:w="1499" w:type="dxa"/>
            <w:vAlign w:val="center"/>
          </w:tcPr>
          <w:p w14:paraId="39627CC5">
            <w:pPr>
              <w:keepNext w:val="0"/>
              <w:keepLines w:val="0"/>
              <w:pageBreakBefore w:val="0"/>
              <w:widowControl/>
              <w:kinsoku/>
              <w:wordWrap/>
              <w:overflowPunct/>
              <w:topLinePunct w:val="0"/>
              <w:autoSpaceDE/>
              <w:autoSpaceDN/>
              <w:bidi w:val="0"/>
              <w:adjustRightInd/>
              <w:snapToGrid/>
              <w:spacing w:line="288" w:lineRule="auto"/>
              <w:ind w:left="43" w:leftChars="-51" w:hanging="145" w:hangingChars="6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100≤X＜300 </w:t>
            </w:r>
          </w:p>
        </w:tc>
        <w:tc>
          <w:tcPr>
            <w:tcW w:w="1399" w:type="dxa"/>
            <w:vAlign w:val="center"/>
          </w:tcPr>
          <w:p w14:paraId="7144E18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10≤X＜100</w:t>
            </w:r>
          </w:p>
        </w:tc>
        <w:tc>
          <w:tcPr>
            <w:tcW w:w="973" w:type="dxa"/>
            <w:vAlign w:val="center"/>
          </w:tcPr>
          <w:p w14:paraId="4EE9D14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X＜10</w:t>
            </w:r>
          </w:p>
        </w:tc>
      </w:tr>
      <w:tr w14:paraId="12B1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2074" w:type="dxa"/>
            <w:vMerge w:val="continue"/>
            <w:vAlign w:val="center"/>
          </w:tcPr>
          <w:p w14:paraId="21DC73E2">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p>
        </w:tc>
        <w:tc>
          <w:tcPr>
            <w:tcW w:w="1242" w:type="dxa"/>
            <w:vAlign w:val="center"/>
          </w:tcPr>
          <w:p w14:paraId="010C2F57">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营业收入(Y)</w:t>
            </w:r>
          </w:p>
        </w:tc>
        <w:tc>
          <w:tcPr>
            <w:tcW w:w="795" w:type="dxa"/>
            <w:vAlign w:val="center"/>
          </w:tcPr>
          <w:p w14:paraId="1DAEEF1D">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万元</w:t>
            </w:r>
          </w:p>
        </w:tc>
        <w:tc>
          <w:tcPr>
            <w:tcW w:w="1275" w:type="dxa"/>
            <w:vAlign w:val="center"/>
          </w:tcPr>
          <w:p w14:paraId="5460FEDD">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Y≥10000</w:t>
            </w:r>
          </w:p>
        </w:tc>
        <w:tc>
          <w:tcPr>
            <w:tcW w:w="1499" w:type="dxa"/>
            <w:vAlign w:val="center"/>
          </w:tcPr>
          <w:p w14:paraId="09AB95A1">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2000≤Y＜10000</w:t>
            </w:r>
          </w:p>
        </w:tc>
        <w:tc>
          <w:tcPr>
            <w:tcW w:w="1399" w:type="dxa"/>
            <w:vAlign w:val="center"/>
          </w:tcPr>
          <w:p w14:paraId="673DBA53">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100≤Y＜2000</w:t>
            </w:r>
          </w:p>
        </w:tc>
        <w:tc>
          <w:tcPr>
            <w:tcW w:w="973" w:type="dxa"/>
            <w:vAlign w:val="center"/>
          </w:tcPr>
          <w:p w14:paraId="64B3781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Y＜100</w:t>
            </w:r>
          </w:p>
        </w:tc>
      </w:tr>
      <w:tr w14:paraId="20A1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2074" w:type="dxa"/>
            <w:vMerge w:val="restart"/>
            <w:vAlign w:val="center"/>
          </w:tcPr>
          <w:p w14:paraId="77667FDE">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餐饮业</w:t>
            </w:r>
          </w:p>
        </w:tc>
        <w:tc>
          <w:tcPr>
            <w:tcW w:w="1242" w:type="dxa"/>
            <w:vAlign w:val="center"/>
          </w:tcPr>
          <w:p w14:paraId="2A7E1FC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从业人员(X)</w:t>
            </w:r>
          </w:p>
        </w:tc>
        <w:tc>
          <w:tcPr>
            <w:tcW w:w="795" w:type="dxa"/>
            <w:vAlign w:val="center"/>
          </w:tcPr>
          <w:p w14:paraId="3D93C488">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w:t>
            </w:r>
          </w:p>
        </w:tc>
        <w:tc>
          <w:tcPr>
            <w:tcW w:w="1275" w:type="dxa"/>
            <w:vAlign w:val="center"/>
          </w:tcPr>
          <w:p w14:paraId="5D28EFE5">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X≥300</w:t>
            </w:r>
          </w:p>
        </w:tc>
        <w:tc>
          <w:tcPr>
            <w:tcW w:w="1499" w:type="dxa"/>
            <w:vAlign w:val="center"/>
          </w:tcPr>
          <w:p w14:paraId="6D2C3299">
            <w:pPr>
              <w:keepNext w:val="0"/>
              <w:keepLines w:val="0"/>
              <w:pageBreakBefore w:val="0"/>
              <w:widowControl/>
              <w:kinsoku/>
              <w:wordWrap/>
              <w:overflowPunct/>
              <w:topLinePunct w:val="0"/>
              <w:autoSpaceDE/>
              <w:autoSpaceDN/>
              <w:bidi w:val="0"/>
              <w:adjustRightInd/>
              <w:snapToGrid/>
              <w:spacing w:line="288" w:lineRule="auto"/>
              <w:ind w:left="43" w:leftChars="-51" w:hanging="145" w:hangingChars="6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100≤X＜300 </w:t>
            </w:r>
          </w:p>
        </w:tc>
        <w:tc>
          <w:tcPr>
            <w:tcW w:w="1399" w:type="dxa"/>
            <w:vAlign w:val="center"/>
          </w:tcPr>
          <w:p w14:paraId="57DC74A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10≤X＜100</w:t>
            </w:r>
          </w:p>
        </w:tc>
        <w:tc>
          <w:tcPr>
            <w:tcW w:w="973" w:type="dxa"/>
            <w:vAlign w:val="center"/>
          </w:tcPr>
          <w:p w14:paraId="30ED4913">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X＜10</w:t>
            </w:r>
          </w:p>
        </w:tc>
      </w:tr>
      <w:tr w14:paraId="2929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2074" w:type="dxa"/>
            <w:vMerge w:val="continue"/>
            <w:vAlign w:val="center"/>
          </w:tcPr>
          <w:p w14:paraId="081903F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p>
        </w:tc>
        <w:tc>
          <w:tcPr>
            <w:tcW w:w="1242" w:type="dxa"/>
            <w:vAlign w:val="center"/>
          </w:tcPr>
          <w:p w14:paraId="670DE56C">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营业收入(Y)</w:t>
            </w:r>
          </w:p>
        </w:tc>
        <w:tc>
          <w:tcPr>
            <w:tcW w:w="795" w:type="dxa"/>
            <w:vAlign w:val="center"/>
          </w:tcPr>
          <w:p w14:paraId="28EABBEE">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万元</w:t>
            </w:r>
          </w:p>
        </w:tc>
        <w:tc>
          <w:tcPr>
            <w:tcW w:w="1275" w:type="dxa"/>
            <w:vAlign w:val="center"/>
          </w:tcPr>
          <w:p w14:paraId="0783E41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Y≥10000</w:t>
            </w:r>
          </w:p>
        </w:tc>
        <w:tc>
          <w:tcPr>
            <w:tcW w:w="1499" w:type="dxa"/>
            <w:vAlign w:val="center"/>
          </w:tcPr>
          <w:p w14:paraId="2AA2BAD3">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2000≤Y＜10000</w:t>
            </w:r>
          </w:p>
        </w:tc>
        <w:tc>
          <w:tcPr>
            <w:tcW w:w="1399" w:type="dxa"/>
            <w:vAlign w:val="center"/>
          </w:tcPr>
          <w:p w14:paraId="74A42AB2">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100≤Y＜2000</w:t>
            </w:r>
          </w:p>
        </w:tc>
        <w:tc>
          <w:tcPr>
            <w:tcW w:w="973" w:type="dxa"/>
            <w:vAlign w:val="center"/>
          </w:tcPr>
          <w:p w14:paraId="4F00CD3A">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Y＜100</w:t>
            </w:r>
          </w:p>
        </w:tc>
      </w:tr>
      <w:tr w14:paraId="4D78F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2074" w:type="dxa"/>
            <w:vMerge w:val="restart"/>
            <w:vAlign w:val="center"/>
          </w:tcPr>
          <w:p w14:paraId="42BCC98A">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信息传输业*</w:t>
            </w:r>
          </w:p>
        </w:tc>
        <w:tc>
          <w:tcPr>
            <w:tcW w:w="1242" w:type="dxa"/>
            <w:vAlign w:val="center"/>
          </w:tcPr>
          <w:p w14:paraId="100FBFA8">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从业人员(X)</w:t>
            </w:r>
          </w:p>
        </w:tc>
        <w:tc>
          <w:tcPr>
            <w:tcW w:w="795" w:type="dxa"/>
            <w:vAlign w:val="center"/>
          </w:tcPr>
          <w:p w14:paraId="19522ABE">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w:t>
            </w:r>
          </w:p>
        </w:tc>
        <w:tc>
          <w:tcPr>
            <w:tcW w:w="1275" w:type="dxa"/>
            <w:vAlign w:val="center"/>
          </w:tcPr>
          <w:p w14:paraId="0179278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X≥2000</w:t>
            </w:r>
          </w:p>
        </w:tc>
        <w:tc>
          <w:tcPr>
            <w:tcW w:w="1499" w:type="dxa"/>
            <w:vAlign w:val="center"/>
          </w:tcPr>
          <w:p w14:paraId="03BD1DCD">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100≤X＜2000</w:t>
            </w:r>
          </w:p>
        </w:tc>
        <w:tc>
          <w:tcPr>
            <w:tcW w:w="1399" w:type="dxa"/>
            <w:vAlign w:val="center"/>
          </w:tcPr>
          <w:p w14:paraId="56937A23">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10≤X＜100</w:t>
            </w:r>
          </w:p>
        </w:tc>
        <w:tc>
          <w:tcPr>
            <w:tcW w:w="973" w:type="dxa"/>
            <w:vAlign w:val="center"/>
          </w:tcPr>
          <w:p w14:paraId="359776B5">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X＜10</w:t>
            </w:r>
          </w:p>
        </w:tc>
      </w:tr>
      <w:tr w14:paraId="6BF55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2074" w:type="dxa"/>
            <w:vMerge w:val="continue"/>
            <w:vAlign w:val="center"/>
          </w:tcPr>
          <w:p w14:paraId="4F11BA2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p>
        </w:tc>
        <w:tc>
          <w:tcPr>
            <w:tcW w:w="1242" w:type="dxa"/>
            <w:vAlign w:val="center"/>
          </w:tcPr>
          <w:p w14:paraId="7499F5F0">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营业收入(Y)</w:t>
            </w:r>
          </w:p>
        </w:tc>
        <w:tc>
          <w:tcPr>
            <w:tcW w:w="795" w:type="dxa"/>
            <w:vAlign w:val="center"/>
          </w:tcPr>
          <w:p w14:paraId="4300EAB3">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万元</w:t>
            </w:r>
          </w:p>
        </w:tc>
        <w:tc>
          <w:tcPr>
            <w:tcW w:w="1275" w:type="dxa"/>
            <w:vAlign w:val="center"/>
          </w:tcPr>
          <w:p w14:paraId="5E1C80EE">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Y≥100000</w:t>
            </w:r>
          </w:p>
        </w:tc>
        <w:tc>
          <w:tcPr>
            <w:tcW w:w="1499" w:type="dxa"/>
            <w:vAlign w:val="center"/>
          </w:tcPr>
          <w:p w14:paraId="6B86F113">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1000≤Y＜100000</w:t>
            </w:r>
          </w:p>
        </w:tc>
        <w:tc>
          <w:tcPr>
            <w:tcW w:w="1399" w:type="dxa"/>
            <w:vAlign w:val="center"/>
          </w:tcPr>
          <w:p w14:paraId="615F7D0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100≤Y＜1000</w:t>
            </w:r>
          </w:p>
        </w:tc>
        <w:tc>
          <w:tcPr>
            <w:tcW w:w="973" w:type="dxa"/>
            <w:vAlign w:val="center"/>
          </w:tcPr>
          <w:p w14:paraId="257297AE">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Y＜100</w:t>
            </w:r>
          </w:p>
        </w:tc>
      </w:tr>
      <w:tr w14:paraId="4BFA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exact"/>
          <w:jc w:val="center"/>
        </w:trPr>
        <w:tc>
          <w:tcPr>
            <w:tcW w:w="2074" w:type="dxa"/>
            <w:vMerge w:val="restart"/>
            <w:vAlign w:val="center"/>
          </w:tcPr>
          <w:p w14:paraId="10C4B098">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pacing w:val="-12"/>
                <w:sz w:val="24"/>
                <w:szCs w:val="24"/>
                <w:highlight w:val="none"/>
              </w:rPr>
            </w:pPr>
            <w:r>
              <w:rPr>
                <w:rFonts w:hint="eastAsia" w:ascii="宋体" w:hAnsi="宋体" w:eastAsia="宋体" w:cs="宋体"/>
                <w:b/>
                <w:color w:val="auto"/>
                <w:spacing w:val="-12"/>
                <w:sz w:val="24"/>
                <w:szCs w:val="24"/>
                <w:highlight w:val="none"/>
              </w:rPr>
              <w:t>软件和信息技术服</w:t>
            </w:r>
            <w:r>
              <w:rPr>
                <w:rFonts w:hint="eastAsia" w:ascii="宋体" w:hAnsi="宋体" w:eastAsia="宋体" w:cs="宋体"/>
                <w:b/>
                <w:color w:val="auto"/>
                <w:sz w:val="24"/>
                <w:szCs w:val="24"/>
                <w:highlight w:val="none"/>
              </w:rPr>
              <w:t>务业</w:t>
            </w:r>
          </w:p>
        </w:tc>
        <w:tc>
          <w:tcPr>
            <w:tcW w:w="1242" w:type="dxa"/>
            <w:vAlign w:val="center"/>
          </w:tcPr>
          <w:p w14:paraId="032DEE20">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从业人员(X)</w:t>
            </w:r>
          </w:p>
        </w:tc>
        <w:tc>
          <w:tcPr>
            <w:tcW w:w="795" w:type="dxa"/>
            <w:vAlign w:val="center"/>
          </w:tcPr>
          <w:p w14:paraId="1AF4222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w:t>
            </w:r>
          </w:p>
        </w:tc>
        <w:tc>
          <w:tcPr>
            <w:tcW w:w="1275" w:type="dxa"/>
            <w:vAlign w:val="center"/>
          </w:tcPr>
          <w:p w14:paraId="254BFDEC">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X≥300</w:t>
            </w:r>
          </w:p>
        </w:tc>
        <w:tc>
          <w:tcPr>
            <w:tcW w:w="1499" w:type="dxa"/>
            <w:vAlign w:val="center"/>
          </w:tcPr>
          <w:p w14:paraId="3833C120">
            <w:pPr>
              <w:keepNext w:val="0"/>
              <w:keepLines w:val="0"/>
              <w:pageBreakBefore w:val="0"/>
              <w:widowControl/>
              <w:kinsoku/>
              <w:wordWrap/>
              <w:overflowPunct/>
              <w:topLinePunct w:val="0"/>
              <w:autoSpaceDE/>
              <w:autoSpaceDN/>
              <w:bidi w:val="0"/>
              <w:adjustRightInd/>
              <w:snapToGrid/>
              <w:spacing w:line="288" w:lineRule="auto"/>
              <w:ind w:left="43" w:leftChars="-51" w:hanging="145" w:hangingChars="6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100≤X＜300 </w:t>
            </w:r>
          </w:p>
        </w:tc>
        <w:tc>
          <w:tcPr>
            <w:tcW w:w="1399" w:type="dxa"/>
            <w:vAlign w:val="center"/>
          </w:tcPr>
          <w:p w14:paraId="5FF7BC7C">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10≤X＜100</w:t>
            </w:r>
          </w:p>
        </w:tc>
        <w:tc>
          <w:tcPr>
            <w:tcW w:w="973" w:type="dxa"/>
            <w:vAlign w:val="center"/>
          </w:tcPr>
          <w:p w14:paraId="59548077">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X＜10</w:t>
            </w:r>
          </w:p>
        </w:tc>
      </w:tr>
      <w:tr w14:paraId="214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2074" w:type="dxa"/>
            <w:vMerge w:val="continue"/>
            <w:vAlign w:val="center"/>
          </w:tcPr>
          <w:p w14:paraId="4B1E2E4C">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pacing w:val="-12"/>
                <w:sz w:val="24"/>
                <w:szCs w:val="24"/>
                <w:highlight w:val="none"/>
              </w:rPr>
            </w:pPr>
          </w:p>
        </w:tc>
        <w:tc>
          <w:tcPr>
            <w:tcW w:w="1242" w:type="dxa"/>
            <w:vAlign w:val="center"/>
          </w:tcPr>
          <w:p w14:paraId="556194EA">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营业收入(Y)</w:t>
            </w:r>
          </w:p>
        </w:tc>
        <w:tc>
          <w:tcPr>
            <w:tcW w:w="795" w:type="dxa"/>
            <w:vAlign w:val="center"/>
          </w:tcPr>
          <w:p w14:paraId="75140EE5">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万元</w:t>
            </w:r>
          </w:p>
        </w:tc>
        <w:tc>
          <w:tcPr>
            <w:tcW w:w="1275" w:type="dxa"/>
            <w:vAlign w:val="center"/>
          </w:tcPr>
          <w:p w14:paraId="3EB34EE8">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Y≥10000</w:t>
            </w:r>
          </w:p>
        </w:tc>
        <w:tc>
          <w:tcPr>
            <w:tcW w:w="1499" w:type="dxa"/>
            <w:vAlign w:val="center"/>
          </w:tcPr>
          <w:p w14:paraId="020B2390">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1000≤Y＜10000</w:t>
            </w:r>
          </w:p>
        </w:tc>
        <w:tc>
          <w:tcPr>
            <w:tcW w:w="1399" w:type="dxa"/>
            <w:vAlign w:val="center"/>
          </w:tcPr>
          <w:p w14:paraId="0AA8A89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50≤Y＜1000</w:t>
            </w:r>
          </w:p>
        </w:tc>
        <w:tc>
          <w:tcPr>
            <w:tcW w:w="973" w:type="dxa"/>
            <w:vAlign w:val="center"/>
          </w:tcPr>
          <w:p w14:paraId="6DC9577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Y＜50</w:t>
            </w:r>
          </w:p>
        </w:tc>
      </w:tr>
      <w:tr w14:paraId="500C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2074" w:type="dxa"/>
            <w:vMerge w:val="restart"/>
            <w:vAlign w:val="center"/>
          </w:tcPr>
          <w:p w14:paraId="6CC93992">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房地产开发经营</w:t>
            </w:r>
          </w:p>
        </w:tc>
        <w:tc>
          <w:tcPr>
            <w:tcW w:w="1242" w:type="dxa"/>
            <w:vAlign w:val="center"/>
          </w:tcPr>
          <w:p w14:paraId="6D2B58D1">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营业收入(Y)</w:t>
            </w:r>
          </w:p>
        </w:tc>
        <w:tc>
          <w:tcPr>
            <w:tcW w:w="795" w:type="dxa"/>
            <w:vAlign w:val="center"/>
          </w:tcPr>
          <w:p w14:paraId="11A0EA8E">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万元</w:t>
            </w:r>
          </w:p>
        </w:tc>
        <w:tc>
          <w:tcPr>
            <w:tcW w:w="1275" w:type="dxa"/>
            <w:vAlign w:val="center"/>
          </w:tcPr>
          <w:p w14:paraId="57CCAD40">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Y≥200000</w:t>
            </w:r>
          </w:p>
        </w:tc>
        <w:tc>
          <w:tcPr>
            <w:tcW w:w="1499" w:type="dxa"/>
            <w:vAlign w:val="center"/>
          </w:tcPr>
          <w:p w14:paraId="04E89141">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1000≤Y＜200000</w:t>
            </w:r>
          </w:p>
        </w:tc>
        <w:tc>
          <w:tcPr>
            <w:tcW w:w="1399" w:type="dxa"/>
            <w:vAlign w:val="center"/>
          </w:tcPr>
          <w:p w14:paraId="5A04DC5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100≤Y＜1000</w:t>
            </w:r>
          </w:p>
        </w:tc>
        <w:tc>
          <w:tcPr>
            <w:tcW w:w="973" w:type="dxa"/>
            <w:vAlign w:val="center"/>
          </w:tcPr>
          <w:p w14:paraId="2813C11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Y＜100</w:t>
            </w:r>
          </w:p>
        </w:tc>
      </w:tr>
      <w:tr w14:paraId="19FE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2074" w:type="dxa"/>
            <w:vMerge w:val="continue"/>
            <w:vAlign w:val="center"/>
          </w:tcPr>
          <w:p w14:paraId="0A3931CA">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p>
        </w:tc>
        <w:tc>
          <w:tcPr>
            <w:tcW w:w="1242" w:type="dxa"/>
            <w:vAlign w:val="center"/>
          </w:tcPr>
          <w:p w14:paraId="1C2D4FA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资产总额(Z)</w:t>
            </w:r>
          </w:p>
        </w:tc>
        <w:tc>
          <w:tcPr>
            <w:tcW w:w="795" w:type="dxa"/>
            <w:vAlign w:val="center"/>
          </w:tcPr>
          <w:p w14:paraId="54E30AD8">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万元</w:t>
            </w:r>
          </w:p>
        </w:tc>
        <w:tc>
          <w:tcPr>
            <w:tcW w:w="1275" w:type="dxa"/>
            <w:vAlign w:val="center"/>
          </w:tcPr>
          <w:p w14:paraId="2FC82FA2">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Z≥10000</w:t>
            </w:r>
          </w:p>
        </w:tc>
        <w:tc>
          <w:tcPr>
            <w:tcW w:w="1499" w:type="dxa"/>
            <w:vAlign w:val="center"/>
          </w:tcPr>
          <w:p w14:paraId="22430330">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5000≤Z＜10000</w:t>
            </w:r>
          </w:p>
        </w:tc>
        <w:tc>
          <w:tcPr>
            <w:tcW w:w="1399" w:type="dxa"/>
            <w:vAlign w:val="center"/>
          </w:tcPr>
          <w:p w14:paraId="4518A3E5">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2000≤Z＜5000   </w:t>
            </w:r>
          </w:p>
        </w:tc>
        <w:tc>
          <w:tcPr>
            <w:tcW w:w="973" w:type="dxa"/>
            <w:vAlign w:val="center"/>
          </w:tcPr>
          <w:p w14:paraId="1C663750">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Z＜2000</w:t>
            </w:r>
          </w:p>
        </w:tc>
      </w:tr>
      <w:tr w14:paraId="469A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exact"/>
          <w:jc w:val="center"/>
        </w:trPr>
        <w:tc>
          <w:tcPr>
            <w:tcW w:w="2074" w:type="dxa"/>
            <w:vMerge w:val="restart"/>
            <w:vAlign w:val="center"/>
          </w:tcPr>
          <w:p w14:paraId="6FA6BA3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物业管理</w:t>
            </w:r>
          </w:p>
        </w:tc>
        <w:tc>
          <w:tcPr>
            <w:tcW w:w="1242" w:type="dxa"/>
            <w:vAlign w:val="center"/>
          </w:tcPr>
          <w:p w14:paraId="64C1A6F5">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从业人员(X)</w:t>
            </w:r>
          </w:p>
        </w:tc>
        <w:tc>
          <w:tcPr>
            <w:tcW w:w="795" w:type="dxa"/>
            <w:vAlign w:val="center"/>
          </w:tcPr>
          <w:p w14:paraId="762CE9AC">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w:t>
            </w:r>
          </w:p>
        </w:tc>
        <w:tc>
          <w:tcPr>
            <w:tcW w:w="1275" w:type="dxa"/>
            <w:vAlign w:val="center"/>
          </w:tcPr>
          <w:p w14:paraId="27AB32D1">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X≥1000</w:t>
            </w:r>
          </w:p>
        </w:tc>
        <w:tc>
          <w:tcPr>
            <w:tcW w:w="1499" w:type="dxa"/>
            <w:vAlign w:val="center"/>
          </w:tcPr>
          <w:p w14:paraId="37C01705">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300≤X＜1000</w:t>
            </w:r>
          </w:p>
        </w:tc>
        <w:tc>
          <w:tcPr>
            <w:tcW w:w="1399" w:type="dxa"/>
            <w:vAlign w:val="center"/>
          </w:tcPr>
          <w:p w14:paraId="20C8B29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100≤X＜300 </w:t>
            </w:r>
          </w:p>
        </w:tc>
        <w:tc>
          <w:tcPr>
            <w:tcW w:w="973" w:type="dxa"/>
            <w:vAlign w:val="center"/>
          </w:tcPr>
          <w:p w14:paraId="3E7BAF58">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X＜100</w:t>
            </w:r>
          </w:p>
        </w:tc>
      </w:tr>
      <w:tr w14:paraId="36B7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2074" w:type="dxa"/>
            <w:vMerge w:val="continue"/>
            <w:vAlign w:val="center"/>
          </w:tcPr>
          <w:p w14:paraId="6107FFD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p>
        </w:tc>
        <w:tc>
          <w:tcPr>
            <w:tcW w:w="1242" w:type="dxa"/>
            <w:vAlign w:val="center"/>
          </w:tcPr>
          <w:p w14:paraId="68E037E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营业收入(Y)</w:t>
            </w:r>
          </w:p>
        </w:tc>
        <w:tc>
          <w:tcPr>
            <w:tcW w:w="795" w:type="dxa"/>
            <w:vAlign w:val="center"/>
          </w:tcPr>
          <w:p w14:paraId="6A4ADA02">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万元</w:t>
            </w:r>
          </w:p>
        </w:tc>
        <w:tc>
          <w:tcPr>
            <w:tcW w:w="1275" w:type="dxa"/>
            <w:vAlign w:val="center"/>
          </w:tcPr>
          <w:p w14:paraId="111ED833">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Y≥5000</w:t>
            </w:r>
          </w:p>
        </w:tc>
        <w:tc>
          <w:tcPr>
            <w:tcW w:w="1499" w:type="dxa"/>
            <w:vAlign w:val="center"/>
          </w:tcPr>
          <w:p w14:paraId="1CD50EC3">
            <w:pPr>
              <w:keepNext w:val="0"/>
              <w:keepLines w:val="0"/>
              <w:pageBreakBefore w:val="0"/>
              <w:widowControl/>
              <w:kinsoku/>
              <w:wordWrap/>
              <w:overflowPunct/>
              <w:topLinePunct w:val="0"/>
              <w:autoSpaceDE/>
              <w:autoSpaceDN/>
              <w:bidi w:val="0"/>
              <w:adjustRightInd/>
              <w:snapToGrid/>
              <w:spacing w:line="288" w:lineRule="auto"/>
              <w:ind w:left="43" w:leftChars="-51" w:hanging="145" w:hangingChars="6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1000≤Y＜5000 </w:t>
            </w:r>
          </w:p>
        </w:tc>
        <w:tc>
          <w:tcPr>
            <w:tcW w:w="1399" w:type="dxa"/>
            <w:vAlign w:val="center"/>
          </w:tcPr>
          <w:p w14:paraId="4C375703">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500≤Y＜1000</w:t>
            </w:r>
          </w:p>
        </w:tc>
        <w:tc>
          <w:tcPr>
            <w:tcW w:w="973" w:type="dxa"/>
            <w:vAlign w:val="center"/>
          </w:tcPr>
          <w:p w14:paraId="42C08B22">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Y＜500</w:t>
            </w:r>
          </w:p>
        </w:tc>
      </w:tr>
      <w:tr w14:paraId="6EDE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2074" w:type="dxa"/>
            <w:vMerge w:val="restart"/>
            <w:vAlign w:val="center"/>
          </w:tcPr>
          <w:p w14:paraId="491CFE41">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租赁和商务服务业</w:t>
            </w:r>
          </w:p>
        </w:tc>
        <w:tc>
          <w:tcPr>
            <w:tcW w:w="1242" w:type="dxa"/>
            <w:vAlign w:val="center"/>
          </w:tcPr>
          <w:p w14:paraId="44504831">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从业人员(X)</w:t>
            </w:r>
          </w:p>
        </w:tc>
        <w:tc>
          <w:tcPr>
            <w:tcW w:w="795" w:type="dxa"/>
            <w:vAlign w:val="center"/>
          </w:tcPr>
          <w:p w14:paraId="4AD4CF23">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w:t>
            </w:r>
          </w:p>
        </w:tc>
        <w:tc>
          <w:tcPr>
            <w:tcW w:w="1275" w:type="dxa"/>
            <w:vAlign w:val="center"/>
          </w:tcPr>
          <w:p w14:paraId="4FBCECE0">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X≥300</w:t>
            </w:r>
          </w:p>
        </w:tc>
        <w:tc>
          <w:tcPr>
            <w:tcW w:w="1499" w:type="dxa"/>
            <w:vAlign w:val="center"/>
          </w:tcPr>
          <w:p w14:paraId="0F4FC090">
            <w:pPr>
              <w:keepNext w:val="0"/>
              <w:keepLines w:val="0"/>
              <w:pageBreakBefore w:val="0"/>
              <w:widowControl/>
              <w:kinsoku/>
              <w:wordWrap/>
              <w:overflowPunct/>
              <w:topLinePunct w:val="0"/>
              <w:autoSpaceDE/>
              <w:autoSpaceDN/>
              <w:bidi w:val="0"/>
              <w:adjustRightInd/>
              <w:snapToGrid/>
              <w:spacing w:line="288" w:lineRule="auto"/>
              <w:ind w:left="43" w:leftChars="-51" w:hanging="145" w:hangingChars="6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100≤X＜300 </w:t>
            </w:r>
          </w:p>
        </w:tc>
        <w:tc>
          <w:tcPr>
            <w:tcW w:w="1399" w:type="dxa"/>
            <w:vAlign w:val="center"/>
          </w:tcPr>
          <w:p w14:paraId="62EB6D23">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10≤X＜100</w:t>
            </w:r>
          </w:p>
        </w:tc>
        <w:tc>
          <w:tcPr>
            <w:tcW w:w="973" w:type="dxa"/>
            <w:vAlign w:val="center"/>
          </w:tcPr>
          <w:p w14:paraId="0ED7D266">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X＜10</w:t>
            </w:r>
          </w:p>
        </w:tc>
      </w:tr>
      <w:tr w14:paraId="0D03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2074" w:type="dxa"/>
            <w:vMerge w:val="continue"/>
            <w:vAlign w:val="center"/>
          </w:tcPr>
          <w:p w14:paraId="7EFBCA1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p>
        </w:tc>
        <w:tc>
          <w:tcPr>
            <w:tcW w:w="1242" w:type="dxa"/>
            <w:vAlign w:val="center"/>
          </w:tcPr>
          <w:p w14:paraId="66F93009">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资产总额(Z)</w:t>
            </w:r>
          </w:p>
        </w:tc>
        <w:tc>
          <w:tcPr>
            <w:tcW w:w="795" w:type="dxa"/>
            <w:vAlign w:val="center"/>
          </w:tcPr>
          <w:p w14:paraId="40B433E7">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万元</w:t>
            </w:r>
          </w:p>
        </w:tc>
        <w:tc>
          <w:tcPr>
            <w:tcW w:w="1275" w:type="dxa"/>
            <w:vAlign w:val="center"/>
          </w:tcPr>
          <w:p w14:paraId="659F588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Z≥120000</w:t>
            </w:r>
          </w:p>
        </w:tc>
        <w:tc>
          <w:tcPr>
            <w:tcW w:w="1499" w:type="dxa"/>
            <w:vAlign w:val="center"/>
          </w:tcPr>
          <w:p w14:paraId="6D11212C">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8000≤Z＜120000</w:t>
            </w:r>
          </w:p>
        </w:tc>
        <w:tc>
          <w:tcPr>
            <w:tcW w:w="1399" w:type="dxa"/>
            <w:vAlign w:val="center"/>
          </w:tcPr>
          <w:p w14:paraId="147D533C">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100≤Z＜8000</w:t>
            </w:r>
          </w:p>
        </w:tc>
        <w:tc>
          <w:tcPr>
            <w:tcW w:w="973" w:type="dxa"/>
            <w:vAlign w:val="center"/>
          </w:tcPr>
          <w:p w14:paraId="4269993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Z＜100</w:t>
            </w:r>
          </w:p>
        </w:tc>
      </w:tr>
      <w:tr w14:paraId="206E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2074" w:type="dxa"/>
            <w:vAlign w:val="center"/>
          </w:tcPr>
          <w:p w14:paraId="11B394A7">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其他未列明行业*</w:t>
            </w:r>
          </w:p>
        </w:tc>
        <w:tc>
          <w:tcPr>
            <w:tcW w:w="1242" w:type="dxa"/>
            <w:vAlign w:val="center"/>
          </w:tcPr>
          <w:p w14:paraId="21DA2E3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从业人员(X)</w:t>
            </w:r>
          </w:p>
        </w:tc>
        <w:tc>
          <w:tcPr>
            <w:tcW w:w="795" w:type="dxa"/>
            <w:vAlign w:val="center"/>
          </w:tcPr>
          <w:p w14:paraId="7BB81B15">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w:t>
            </w:r>
          </w:p>
        </w:tc>
        <w:tc>
          <w:tcPr>
            <w:tcW w:w="1275" w:type="dxa"/>
            <w:vAlign w:val="center"/>
          </w:tcPr>
          <w:p w14:paraId="1BF61A9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X≥300</w:t>
            </w:r>
          </w:p>
        </w:tc>
        <w:tc>
          <w:tcPr>
            <w:tcW w:w="1499" w:type="dxa"/>
            <w:vAlign w:val="center"/>
          </w:tcPr>
          <w:p w14:paraId="08C146C8">
            <w:pPr>
              <w:keepNext w:val="0"/>
              <w:keepLines w:val="0"/>
              <w:pageBreakBefore w:val="0"/>
              <w:widowControl/>
              <w:kinsoku/>
              <w:wordWrap/>
              <w:overflowPunct/>
              <w:topLinePunct w:val="0"/>
              <w:autoSpaceDE/>
              <w:autoSpaceDN/>
              <w:bidi w:val="0"/>
              <w:adjustRightInd/>
              <w:snapToGrid/>
              <w:spacing w:line="288" w:lineRule="auto"/>
              <w:ind w:left="43" w:leftChars="-51" w:hanging="145" w:hangingChars="6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100≤X＜300 </w:t>
            </w:r>
          </w:p>
        </w:tc>
        <w:tc>
          <w:tcPr>
            <w:tcW w:w="1399" w:type="dxa"/>
            <w:vAlign w:val="center"/>
          </w:tcPr>
          <w:p w14:paraId="035B692B">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10≤X＜100</w:t>
            </w:r>
          </w:p>
        </w:tc>
        <w:tc>
          <w:tcPr>
            <w:tcW w:w="973" w:type="dxa"/>
            <w:vAlign w:val="center"/>
          </w:tcPr>
          <w:p w14:paraId="5358D15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X＜10</w:t>
            </w:r>
          </w:p>
        </w:tc>
      </w:tr>
    </w:tbl>
    <w:p w14:paraId="36A40835">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说明：</w:t>
      </w:r>
    </w:p>
    <w:p w14:paraId="32B44B7C">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　　1.大型、中型和小型企业须同时满足所列指标的下限，否则下划一档；微型企业只须满足所列指标中的一项即可。</w:t>
      </w:r>
    </w:p>
    <w:p w14:paraId="33F59080">
      <w:pPr>
        <w:keepNext w:val="0"/>
        <w:keepLines w:val="0"/>
        <w:pageBreakBefore w:val="0"/>
        <w:widowControl/>
        <w:kinsoku/>
        <w:wordWrap/>
        <w:overflowPunct/>
        <w:topLinePunct w:val="0"/>
        <w:autoSpaceDE/>
        <w:autoSpaceDN/>
        <w:bidi w:val="0"/>
        <w:adjustRightInd/>
        <w:snapToGrid/>
        <w:spacing w:line="288" w:lineRule="auto"/>
        <w:ind w:firstLine="452"/>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B3A1479">
      <w:pPr>
        <w:keepNext w:val="0"/>
        <w:keepLines w:val="0"/>
        <w:pageBreakBefore w:val="0"/>
        <w:widowControl/>
        <w:kinsoku/>
        <w:wordWrap/>
        <w:overflowPunct/>
        <w:topLinePunct w:val="0"/>
        <w:autoSpaceDE/>
        <w:autoSpaceDN/>
        <w:bidi w:val="0"/>
        <w:adjustRightInd/>
        <w:snapToGrid/>
        <w:spacing w:line="288" w:lineRule="auto"/>
        <w:ind w:firstLine="452"/>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2E6FE78">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pacing w:val="20"/>
          <w:sz w:val="24"/>
          <w:szCs w:val="24"/>
          <w:highlight w:val="none"/>
        </w:rPr>
      </w:pPr>
    </w:p>
    <w:p w14:paraId="1234DD30">
      <w:pPr>
        <w:pStyle w:val="18"/>
        <w:rPr>
          <w:rFonts w:hint="eastAsia"/>
        </w:rPr>
      </w:pPr>
    </w:p>
    <w:p w14:paraId="729B22A4">
      <w:pPr>
        <w:pStyle w:val="18"/>
        <w:rPr>
          <w:rFonts w:hint="eastAsia"/>
        </w:rPr>
      </w:pPr>
    </w:p>
    <w:p w14:paraId="5F8FEF91">
      <w:pPr>
        <w:pStyle w:val="18"/>
        <w:rPr>
          <w:rFonts w:hint="eastAsia"/>
        </w:rPr>
      </w:pPr>
    </w:p>
    <w:p w14:paraId="6A7A654B">
      <w:pPr>
        <w:pStyle w:val="18"/>
        <w:rPr>
          <w:rFonts w:hint="eastAsia"/>
        </w:rPr>
      </w:pPr>
    </w:p>
    <w:p w14:paraId="064100DA">
      <w:pPr>
        <w:pStyle w:val="18"/>
        <w:rPr>
          <w:rFonts w:hint="eastAsia"/>
        </w:rPr>
      </w:pPr>
    </w:p>
    <w:p w14:paraId="64AD6619">
      <w:pPr>
        <w:pStyle w:val="18"/>
        <w:rPr>
          <w:rFonts w:hint="eastAsia"/>
        </w:rPr>
      </w:pPr>
    </w:p>
    <w:p w14:paraId="011CE241">
      <w:pPr>
        <w:pStyle w:val="18"/>
        <w:rPr>
          <w:rFonts w:hint="eastAsia"/>
        </w:rPr>
      </w:pPr>
    </w:p>
    <w:p w14:paraId="6B300D92">
      <w:pPr>
        <w:pStyle w:val="18"/>
        <w:rPr>
          <w:rFonts w:hint="eastAsia"/>
        </w:rPr>
      </w:pPr>
    </w:p>
    <w:p w14:paraId="678385E2">
      <w:pPr>
        <w:pStyle w:val="18"/>
        <w:rPr>
          <w:rFonts w:hint="eastAsia"/>
        </w:rPr>
      </w:pPr>
    </w:p>
    <w:p w14:paraId="1D7C2554">
      <w:pPr>
        <w:pStyle w:val="18"/>
        <w:rPr>
          <w:rFonts w:hint="eastAsia"/>
        </w:rPr>
      </w:pPr>
    </w:p>
    <w:p w14:paraId="5BED5A91">
      <w:pPr>
        <w:pStyle w:val="18"/>
        <w:rPr>
          <w:rFonts w:hint="eastAsia"/>
        </w:rPr>
      </w:pPr>
    </w:p>
    <w:p w14:paraId="2FE8061E">
      <w:pPr>
        <w:pStyle w:val="18"/>
        <w:rPr>
          <w:rFonts w:hint="eastAsia"/>
        </w:rPr>
      </w:pPr>
    </w:p>
    <w:p w14:paraId="309617A3">
      <w:pPr>
        <w:pStyle w:val="18"/>
        <w:rPr>
          <w:rFonts w:hint="eastAsia"/>
        </w:rPr>
      </w:pPr>
    </w:p>
    <w:p w14:paraId="6BC37F49">
      <w:pPr>
        <w:pStyle w:val="18"/>
        <w:rPr>
          <w:rFonts w:hint="eastAsia"/>
        </w:rPr>
      </w:pPr>
    </w:p>
    <w:p w14:paraId="741D0FF7">
      <w:pPr>
        <w:pStyle w:val="18"/>
        <w:rPr>
          <w:rFonts w:hint="eastAsia"/>
        </w:rPr>
      </w:pPr>
    </w:p>
    <w:p w14:paraId="101E4E62">
      <w:pPr>
        <w:pStyle w:val="18"/>
        <w:rPr>
          <w:rFonts w:hint="eastAsia"/>
        </w:rPr>
      </w:pPr>
    </w:p>
    <w:p w14:paraId="25D18AF4">
      <w:pPr>
        <w:pStyle w:val="18"/>
        <w:rPr>
          <w:rFonts w:hint="eastAsia"/>
        </w:rPr>
      </w:pPr>
    </w:p>
    <w:p w14:paraId="564070B5">
      <w:pPr>
        <w:pStyle w:val="18"/>
        <w:rPr>
          <w:rFonts w:hint="eastAsia"/>
        </w:rPr>
      </w:pPr>
    </w:p>
    <w:p w14:paraId="45975009">
      <w:pPr>
        <w:pStyle w:val="18"/>
        <w:rPr>
          <w:rFonts w:hint="eastAsia"/>
        </w:rPr>
      </w:pPr>
    </w:p>
    <w:p w14:paraId="23511A11">
      <w:pPr>
        <w:pStyle w:val="18"/>
        <w:rPr>
          <w:rFonts w:hint="eastAsia"/>
        </w:rPr>
      </w:pPr>
    </w:p>
    <w:p w14:paraId="39DFA15A">
      <w:pPr>
        <w:pStyle w:val="18"/>
        <w:rPr>
          <w:rFonts w:hint="eastAsia"/>
        </w:rPr>
      </w:pPr>
    </w:p>
    <w:p w14:paraId="46BF7EC3">
      <w:pPr>
        <w:pStyle w:val="18"/>
        <w:rPr>
          <w:rFonts w:hint="eastAsia"/>
        </w:rPr>
      </w:pPr>
    </w:p>
    <w:p w14:paraId="24E087CA">
      <w:pPr>
        <w:pStyle w:val="18"/>
        <w:rPr>
          <w:rFonts w:hint="eastAsia"/>
        </w:rPr>
      </w:pPr>
    </w:p>
    <w:p w14:paraId="382A00D9">
      <w:pPr>
        <w:rPr>
          <w:rFonts w:hint="eastAsia" w:ascii="宋体" w:hAnsi="宋体" w:eastAsia="宋体" w:cs="宋体"/>
          <w:color w:val="auto"/>
          <w:highlight w:val="yellow"/>
        </w:rPr>
      </w:pPr>
    </w:p>
    <w:p w14:paraId="6C094C52">
      <w:pPr>
        <w:pStyle w:val="4"/>
        <w:keepNext/>
        <w:keepLines/>
        <w:pageBreakBefore w:val="0"/>
        <w:widowControl/>
        <w:numPr>
          <w:ilvl w:val="0"/>
          <w:numId w:val="1"/>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 xml:space="preserve"> </w:t>
      </w:r>
      <w:bookmarkStart w:id="42" w:name="_Toc13415"/>
      <w:r>
        <w:rPr>
          <w:rFonts w:hint="eastAsia" w:ascii="宋体" w:hAnsi="宋体" w:eastAsia="宋体" w:cs="宋体"/>
          <w:color w:val="auto"/>
          <w:sz w:val="36"/>
          <w:szCs w:val="36"/>
          <w:highlight w:val="none"/>
        </w:rPr>
        <w:t>采购需求</w:t>
      </w:r>
      <w:bookmarkEnd w:id="42"/>
      <w:bookmarkStart w:id="43" w:name="_第五部分__"/>
      <w:bookmarkEnd w:id="43"/>
      <w:r>
        <w:rPr>
          <w:rFonts w:hint="eastAsia" w:ascii="宋体" w:hAnsi="宋体" w:eastAsia="宋体" w:cs="宋体"/>
          <w:color w:val="auto"/>
          <w:sz w:val="36"/>
          <w:szCs w:val="36"/>
          <w:highlight w:val="none"/>
          <w:lang w:val="en-US" w:eastAsia="zh-CN"/>
        </w:rPr>
        <w:t>和技术要求</w:t>
      </w:r>
    </w:p>
    <w:p w14:paraId="0D0183F0">
      <w:pPr>
        <w:pStyle w:val="6"/>
        <w:keepNext/>
        <w:keepLines/>
        <w:pageBreakBefore w:val="0"/>
        <w:widowControl/>
        <w:kinsoku/>
        <w:wordWrap/>
        <w:overflowPunct/>
        <w:topLinePunct w:val="0"/>
        <w:autoSpaceDE/>
        <w:autoSpaceDN/>
        <w:bidi w:val="0"/>
        <w:adjustRightInd/>
        <w:snapToGrid/>
        <w:spacing w:before="0" w:after="0" w:line="360" w:lineRule="auto"/>
        <w:ind w:firstLine="602" w:firstLineChars="200"/>
        <w:textAlignment w:val="auto"/>
        <w:rPr>
          <w:rFonts w:hint="eastAsia" w:ascii="宋体" w:hAnsi="宋体" w:eastAsia="宋体" w:cs="宋体"/>
          <w:color w:val="auto"/>
          <w:sz w:val="30"/>
          <w:szCs w:val="30"/>
          <w:highlight w:val="none"/>
        </w:rPr>
      </w:pPr>
      <w:bookmarkStart w:id="44" w:name="_Toc18914"/>
      <w:r>
        <w:rPr>
          <w:rFonts w:hint="eastAsia" w:ascii="宋体" w:hAnsi="宋体" w:cs="宋体"/>
          <w:color w:val="auto"/>
          <w:sz w:val="30"/>
          <w:szCs w:val="30"/>
          <w:highlight w:val="none"/>
          <w:lang w:val="en-US" w:eastAsia="zh-CN"/>
        </w:rPr>
        <w:t>一、技术参数</w:t>
      </w:r>
      <w:r>
        <w:rPr>
          <w:rFonts w:hint="eastAsia" w:ascii="宋体" w:hAnsi="宋体" w:eastAsia="宋体" w:cs="宋体"/>
          <w:color w:val="auto"/>
          <w:sz w:val="30"/>
          <w:szCs w:val="30"/>
          <w:highlight w:val="none"/>
        </w:rPr>
        <w:t>要求</w:t>
      </w:r>
    </w:p>
    <w:tbl>
      <w:tblPr>
        <w:tblStyle w:val="46"/>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342"/>
        <w:gridCol w:w="4836"/>
        <w:gridCol w:w="709"/>
        <w:gridCol w:w="790"/>
        <w:gridCol w:w="894"/>
      </w:tblGrid>
      <w:tr w14:paraId="67C7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4EE61D51">
            <w:pPr>
              <w:widowControl/>
              <w:jc w:val="center"/>
              <w:textAlignment w:val="center"/>
              <w:rPr>
                <w:rFonts w:hint="default" w:ascii="宋体" w:hAnsi="宋体" w:cs="宋体"/>
                <w:b/>
                <w:bCs/>
                <w:i w:val="0"/>
                <w:iCs w:val="0"/>
                <w:color w:val="auto"/>
                <w:kern w:val="0"/>
                <w:sz w:val="22"/>
                <w:szCs w:val="22"/>
                <w:highlight w:val="none"/>
                <w:u w:val="none"/>
                <w:lang w:val="en-US" w:eastAsia="zh-CN" w:bidi="ar"/>
              </w:rPr>
            </w:pPr>
            <w:r>
              <w:rPr>
                <w:rFonts w:hint="eastAsia" w:ascii="宋体" w:hAnsi="宋体" w:eastAsia="宋体" w:cs="宋体"/>
                <w:b/>
                <w:bCs/>
                <w:color w:val="auto"/>
                <w:kern w:val="0"/>
                <w:sz w:val="22"/>
                <w:szCs w:val="22"/>
                <w:highlight w:val="none"/>
              </w:rPr>
              <w:t>序号</w:t>
            </w:r>
          </w:p>
        </w:tc>
        <w:tc>
          <w:tcPr>
            <w:tcW w:w="1342" w:type="dxa"/>
            <w:noWrap w:val="0"/>
            <w:vAlign w:val="center"/>
          </w:tcPr>
          <w:p w14:paraId="7BD31123">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cs="宋体"/>
                <w:b/>
                <w:bCs/>
                <w:i w:val="0"/>
                <w:iCs w:val="0"/>
                <w:color w:val="auto"/>
                <w:kern w:val="0"/>
                <w:sz w:val="22"/>
                <w:szCs w:val="22"/>
                <w:highlight w:val="none"/>
                <w:u w:val="none"/>
                <w:lang w:val="en-US" w:eastAsia="zh-CN" w:bidi="ar"/>
              </w:rPr>
              <w:t>名称</w:t>
            </w:r>
          </w:p>
        </w:tc>
        <w:tc>
          <w:tcPr>
            <w:tcW w:w="4836" w:type="dxa"/>
            <w:noWrap w:val="0"/>
            <w:vAlign w:val="center"/>
          </w:tcPr>
          <w:p w14:paraId="6EC6816A">
            <w:pPr>
              <w:keepNext w:val="0"/>
              <w:keepLines w:val="0"/>
              <w:widowControl/>
              <w:suppressLineNumbers w:val="0"/>
              <w:jc w:val="center"/>
              <w:textAlignment w:val="center"/>
              <w:rPr>
                <w:rFonts w:hint="default" w:ascii="宋体" w:hAnsi="宋体" w:cs="宋体"/>
                <w:b/>
                <w:bCs/>
                <w:i w:val="0"/>
                <w:iCs w:val="0"/>
                <w:color w:val="auto"/>
                <w:kern w:val="0"/>
                <w:sz w:val="22"/>
                <w:szCs w:val="22"/>
                <w:highlight w:val="none"/>
                <w:u w:val="none"/>
                <w:lang w:val="en-US" w:eastAsia="zh-CN" w:bidi="ar"/>
              </w:rPr>
            </w:pPr>
            <w:r>
              <w:rPr>
                <w:rFonts w:hint="eastAsia" w:ascii="宋体" w:hAnsi="宋体" w:cs="宋体"/>
                <w:b/>
                <w:bCs/>
                <w:i w:val="0"/>
                <w:iCs w:val="0"/>
                <w:color w:val="auto"/>
                <w:kern w:val="0"/>
                <w:sz w:val="22"/>
                <w:szCs w:val="22"/>
                <w:highlight w:val="none"/>
                <w:u w:val="none"/>
                <w:lang w:val="en-US" w:eastAsia="zh-CN" w:bidi="ar"/>
              </w:rPr>
              <w:t>技术要求及参数</w:t>
            </w:r>
          </w:p>
        </w:tc>
        <w:tc>
          <w:tcPr>
            <w:tcW w:w="709" w:type="dxa"/>
            <w:noWrap w:val="0"/>
            <w:vAlign w:val="center"/>
          </w:tcPr>
          <w:p w14:paraId="09425B3F">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cs="宋体"/>
                <w:b/>
                <w:bCs/>
                <w:i w:val="0"/>
                <w:iCs w:val="0"/>
                <w:color w:val="auto"/>
                <w:kern w:val="0"/>
                <w:sz w:val="22"/>
                <w:szCs w:val="22"/>
                <w:highlight w:val="none"/>
                <w:u w:val="none"/>
                <w:lang w:val="en-US" w:eastAsia="zh-CN" w:bidi="ar"/>
              </w:rPr>
              <w:t>数量</w:t>
            </w:r>
          </w:p>
        </w:tc>
        <w:tc>
          <w:tcPr>
            <w:tcW w:w="790" w:type="dxa"/>
            <w:noWrap w:val="0"/>
            <w:vAlign w:val="center"/>
          </w:tcPr>
          <w:p w14:paraId="6D121F6A">
            <w:pPr>
              <w:widowControl w:val="0"/>
              <w:jc w:val="center"/>
              <w:rPr>
                <w:rFonts w:hint="default"/>
                <w:b/>
                <w:bCs/>
                <w:color w:val="auto"/>
                <w:highlight w:val="none"/>
                <w:vertAlign w:val="baseline"/>
                <w:lang w:val="en-US" w:eastAsia="zh-CN"/>
              </w:rPr>
            </w:pPr>
            <w:r>
              <w:rPr>
                <w:rFonts w:hint="eastAsia"/>
                <w:b/>
                <w:bCs/>
                <w:color w:val="auto"/>
                <w:highlight w:val="none"/>
                <w:vertAlign w:val="baseline"/>
                <w:lang w:val="en-US" w:eastAsia="zh-CN"/>
              </w:rPr>
              <w:t>单位</w:t>
            </w:r>
          </w:p>
        </w:tc>
        <w:tc>
          <w:tcPr>
            <w:tcW w:w="894" w:type="dxa"/>
            <w:noWrap w:val="0"/>
            <w:vAlign w:val="top"/>
          </w:tcPr>
          <w:p w14:paraId="03179A81">
            <w:pPr>
              <w:widowControl w:val="0"/>
              <w:jc w:val="both"/>
              <w:rPr>
                <w:rFonts w:hint="eastAsia" w:eastAsia="宋体"/>
                <w:b/>
                <w:bCs/>
                <w:color w:val="auto"/>
                <w:highlight w:val="none"/>
                <w:vertAlign w:val="baseline"/>
                <w:lang w:val="en-US" w:eastAsia="zh-CN"/>
              </w:rPr>
            </w:pPr>
            <w:r>
              <w:rPr>
                <w:rFonts w:hint="eastAsia"/>
                <w:b/>
                <w:bCs/>
                <w:color w:val="auto"/>
                <w:highlight w:val="none"/>
                <w:vertAlign w:val="baseline"/>
                <w:lang w:val="en-US" w:eastAsia="zh-CN"/>
              </w:rPr>
              <w:t>备注</w:t>
            </w:r>
          </w:p>
        </w:tc>
      </w:tr>
      <w:tr w14:paraId="1871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25E8F618">
            <w:pPr>
              <w:widowControl/>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kern w:val="0"/>
                <w:sz w:val="22"/>
                <w:szCs w:val="22"/>
                <w:highlight w:val="none"/>
              </w:rPr>
              <w:t>1</w:t>
            </w:r>
          </w:p>
        </w:tc>
        <w:tc>
          <w:tcPr>
            <w:tcW w:w="1342" w:type="dxa"/>
            <w:noWrap w:val="0"/>
            <w:vAlign w:val="center"/>
          </w:tcPr>
          <w:p w14:paraId="67348F23">
            <w:pPr>
              <w:keepNext w:val="0"/>
              <w:keepLines w:val="0"/>
              <w:pageBreakBefore w:val="0"/>
              <w:widowControl/>
              <w:suppressLineNumbers w:val="0"/>
              <w:kinsoku/>
              <w:wordWrap/>
              <w:overflowPunct/>
              <w:topLinePunct w:val="0"/>
              <w:autoSpaceDE/>
              <w:autoSpaceDN/>
              <w:bidi w:val="0"/>
              <w:adjustRightInd/>
              <w:snapToGrid/>
              <w:jc w:val="left"/>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涡度相关通量观测系统</w:t>
            </w:r>
            <w:r>
              <w:rPr>
                <w:rFonts w:hint="eastAsia" w:ascii="宋体" w:hAnsi="宋体" w:eastAsia="宋体" w:cs="宋体"/>
                <w:i w:val="0"/>
                <w:iCs w:val="0"/>
                <w:color w:val="auto"/>
                <w:kern w:val="0"/>
                <w:sz w:val="20"/>
                <w:szCs w:val="20"/>
                <w:highlight w:val="none"/>
                <w:u w:val="none"/>
                <w:lang w:val="en-US" w:eastAsia="zh-CN" w:bidi="ar"/>
              </w:rPr>
              <w:t>（本产品已做进口产品论证，允许采购进口产品）</w:t>
            </w:r>
          </w:p>
        </w:tc>
        <w:tc>
          <w:tcPr>
            <w:tcW w:w="4836" w:type="dxa"/>
            <w:shd w:val="clear" w:color="auto" w:fill="auto"/>
            <w:noWrap w:val="0"/>
            <w:vAlign w:val="top"/>
          </w:tcPr>
          <w:p w14:paraId="5EB12A90">
            <w:pPr>
              <w:widowControl/>
              <w:jc w:val="left"/>
              <w:textAlignment w:val="top"/>
              <w:rPr>
                <w:rFonts w:hint="eastAsia" w:ascii="宋体" w:hAnsi="宋体" w:eastAsia="宋体" w:cs="宋体"/>
                <w:color w:val="auto"/>
                <w:kern w:val="0"/>
                <w:sz w:val="22"/>
                <w:szCs w:val="22"/>
                <w:highlight w:val="none"/>
              </w:rPr>
            </w:pPr>
            <w:r>
              <w:rPr>
                <w:rFonts w:hint="eastAsia" w:ascii="宋体" w:hAnsi="宋体" w:eastAsia="宋体" w:cs="宋体"/>
                <w:b/>
                <w:bCs/>
                <w:color w:val="auto"/>
                <w:kern w:val="0"/>
                <w:sz w:val="22"/>
                <w:szCs w:val="22"/>
                <w:highlight w:val="none"/>
              </w:rPr>
              <w:t xml:space="preserve">数据采集器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1.工作温度：-25</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50℃；相对湿度：0</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95%非凝结。</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2.防水级别：IEC IP65。</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3.可实现通量数据远程传输。</w:t>
            </w:r>
            <w:r>
              <w:rPr>
                <w:rFonts w:hint="eastAsia" w:ascii="宋体" w:hAnsi="宋体" w:eastAsia="宋体" w:cs="宋体"/>
                <w:color w:val="auto"/>
                <w:kern w:val="0"/>
                <w:sz w:val="22"/>
                <w:szCs w:val="22"/>
                <w:highlight w:val="none"/>
              </w:rPr>
              <w:br w:type="textWrapping"/>
            </w:r>
            <w:r>
              <w:rPr>
                <w:rFonts w:hint="eastAsia" w:ascii="宋体" w:hAnsi="宋体" w:eastAsia="宋体" w:cs="宋体"/>
                <w:b/>
                <w:bCs/>
                <w:color w:val="auto"/>
                <w:kern w:val="0"/>
                <w:sz w:val="22"/>
                <w:szCs w:val="22"/>
                <w:highlight w:val="none"/>
              </w:rPr>
              <w:t>CO</w:t>
            </w:r>
            <w:r>
              <w:rPr>
                <w:rFonts w:hint="eastAsia" w:ascii="宋体" w:hAnsi="宋体" w:eastAsia="宋体" w:cs="宋体"/>
                <w:b/>
                <w:bCs/>
                <w:color w:val="auto"/>
                <w:kern w:val="0"/>
                <w:sz w:val="22"/>
                <w:szCs w:val="22"/>
                <w:highlight w:val="none"/>
                <w:vertAlign w:val="subscript"/>
              </w:rPr>
              <w:t>2</w:t>
            </w:r>
            <w:r>
              <w:rPr>
                <w:rFonts w:hint="eastAsia" w:ascii="宋体" w:hAnsi="宋体" w:eastAsia="宋体" w:cs="宋体"/>
                <w:b/>
                <w:bCs/>
                <w:color w:val="auto"/>
                <w:kern w:val="0"/>
                <w:sz w:val="22"/>
                <w:szCs w:val="22"/>
                <w:highlight w:val="none"/>
              </w:rPr>
              <w:t>/H</w:t>
            </w:r>
            <w:r>
              <w:rPr>
                <w:rFonts w:hint="eastAsia" w:ascii="宋体" w:hAnsi="宋体" w:eastAsia="宋体" w:cs="宋体"/>
                <w:b/>
                <w:bCs/>
                <w:color w:val="auto"/>
                <w:kern w:val="0"/>
                <w:sz w:val="22"/>
                <w:szCs w:val="22"/>
                <w:highlight w:val="none"/>
                <w:vertAlign w:val="subscript"/>
              </w:rPr>
              <w:t>2</w:t>
            </w:r>
            <w:r>
              <w:rPr>
                <w:rFonts w:hint="eastAsia" w:ascii="宋体" w:hAnsi="宋体" w:eastAsia="宋体" w:cs="宋体"/>
                <w:b/>
                <w:bCs/>
                <w:color w:val="auto"/>
                <w:kern w:val="0"/>
                <w:sz w:val="22"/>
                <w:szCs w:val="22"/>
                <w:highlight w:val="none"/>
              </w:rPr>
              <w:t>O分析</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★4. 涡度测量硬件设置标准：气体分析仪和三维超声风速仪</w:t>
            </w:r>
            <w:r>
              <w:rPr>
                <w:rFonts w:hint="eastAsia" w:ascii="宋体" w:hAnsi="宋体" w:eastAsia="宋体" w:cs="宋体"/>
                <w:strike w:val="0"/>
                <w:color w:val="auto"/>
                <w:kern w:val="0"/>
                <w:sz w:val="22"/>
                <w:szCs w:val="22"/>
                <w:highlight w:val="none"/>
              </w:rPr>
              <w:t>必须彼此分离不能一体化，以减小分析器对风速测定的影响（尤其是垂直风分量）</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5. CO</w:t>
            </w:r>
            <w:r>
              <w:rPr>
                <w:rFonts w:hint="eastAsia" w:ascii="宋体" w:hAnsi="宋体" w:eastAsia="宋体" w:cs="宋体"/>
                <w:color w:val="auto"/>
                <w:kern w:val="0"/>
                <w:sz w:val="22"/>
                <w:szCs w:val="22"/>
                <w:highlight w:val="none"/>
                <w:vertAlign w:val="subscript"/>
              </w:rPr>
              <w:t>2</w:t>
            </w:r>
            <w:r>
              <w:rPr>
                <w:rFonts w:hint="eastAsia" w:ascii="宋体" w:hAnsi="宋体" w:eastAsia="宋体" w:cs="宋体"/>
                <w:color w:val="auto"/>
                <w:kern w:val="0"/>
                <w:sz w:val="22"/>
                <w:szCs w:val="22"/>
                <w:highlight w:val="none"/>
              </w:rPr>
              <w:t>/H</w:t>
            </w:r>
            <w:r>
              <w:rPr>
                <w:rFonts w:hint="eastAsia" w:ascii="宋体" w:hAnsi="宋体" w:eastAsia="宋体" w:cs="宋体"/>
                <w:color w:val="auto"/>
                <w:kern w:val="0"/>
                <w:sz w:val="22"/>
                <w:szCs w:val="22"/>
                <w:highlight w:val="none"/>
                <w:vertAlign w:val="subscript"/>
              </w:rPr>
              <w:t>2</w:t>
            </w:r>
            <w:r>
              <w:rPr>
                <w:rFonts w:hint="eastAsia" w:ascii="宋体" w:hAnsi="宋体" w:eastAsia="宋体" w:cs="宋体"/>
                <w:color w:val="auto"/>
                <w:kern w:val="0"/>
                <w:sz w:val="22"/>
                <w:szCs w:val="22"/>
                <w:highlight w:val="none"/>
              </w:rPr>
              <w:t>O分析器：温度设置具备低温（5℃）和高温（30℃）两种温控模式。</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6. 气压传感器：测量范围：500</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1100mb；重复性：≤±0.03mb。</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7. 温度传感器：测量范围：−40</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70℃；准确度：≤±0.25℃（在环境温度−20</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70℃时）；分辨率≤0.003℃。</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8. 功耗：典型≤4 W（在环境温度25℃时）；最大≤8 W （在环境温度−25</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50℃时）。</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9. 光路长度：≤12.5cm</w:t>
            </w:r>
            <w:r>
              <w:rPr>
                <w:rFonts w:hint="eastAsia" w:ascii="宋体" w:hAnsi="宋体" w:eastAsia="宋体" w:cs="宋体"/>
                <w:color w:val="auto"/>
                <w:kern w:val="0"/>
                <w:sz w:val="22"/>
                <w:szCs w:val="22"/>
                <w:highlight w:val="none"/>
              </w:rPr>
              <w:br w:type="textWrapping"/>
            </w:r>
            <w:r>
              <w:rPr>
                <w:rFonts w:hint="eastAsia" w:ascii="宋体" w:hAnsi="宋体" w:eastAsia="宋体" w:cs="宋体"/>
                <w:b/>
                <w:bCs/>
                <w:color w:val="auto"/>
                <w:kern w:val="0"/>
                <w:sz w:val="22"/>
                <w:szCs w:val="22"/>
                <w:highlight w:val="none"/>
              </w:rPr>
              <w:t>CO</w:t>
            </w:r>
            <w:r>
              <w:rPr>
                <w:rFonts w:hint="eastAsia" w:ascii="宋体" w:hAnsi="宋体" w:eastAsia="宋体" w:cs="宋体"/>
                <w:b/>
                <w:bCs/>
                <w:color w:val="auto"/>
                <w:kern w:val="0"/>
                <w:sz w:val="22"/>
                <w:szCs w:val="22"/>
                <w:highlight w:val="none"/>
                <w:vertAlign w:val="subscript"/>
              </w:rPr>
              <w:t>2</w:t>
            </w:r>
            <w:r>
              <w:rPr>
                <w:rFonts w:hint="eastAsia" w:ascii="宋体" w:hAnsi="宋体" w:eastAsia="宋体" w:cs="宋体"/>
                <w:b/>
                <w:bCs/>
                <w:color w:val="auto"/>
                <w:kern w:val="0"/>
                <w:sz w:val="22"/>
                <w:szCs w:val="22"/>
                <w:highlight w:val="none"/>
              </w:rPr>
              <w:t>测量：</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10.校准范围：0</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3000µmol/mol。</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11.准确度：≤读数的1%。</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12.零点漂移(每℃)：典型±0.1µmol/mol。</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★13. RMS噪音/分辨率（CO</w:t>
            </w:r>
            <w:r>
              <w:rPr>
                <w:rFonts w:hint="eastAsia" w:ascii="宋体" w:hAnsi="宋体" w:eastAsia="宋体" w:cs="宋体"/>
                <w:color w:val="auto"/>
                <w:kern w:val="0"/>
                <w:sz w:val="22"/>
                <w:szCs w:val="22"/>
                <w:highlight w:val="none"/>
                <w:vertAlign w:val="subscript"/>
              </w:rPr>
              <w:t>2</w:t>
            </w:r>
            <w:r>
              <w:rPr>
                <w:rFonts w:hint="eastAsia" w:ascii="宋体" w:hAnsi="宋体" w:eastAsia="宋体" w:cs="宋体"/>
                <w:color w:val="auto"/>
                <w:kern w:val="0"/>
                <w:sz w:val="22"/>
                <w:szCs w:val="22"/>
                <w:highlight w:val="none"/>
              </w:rPr>
              <w:t>浓度为370µmol/mol时的典型值）：5 Hz：≤0.08µmol/mol；10 Hz：≤0.11µmol/mol。</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14.增益漂移（CO</w:t>
            </w:r>
            <w:r>
              <w:rPr>
                <w:rFonts w:hint="eastAsia" w:ascii="宋体" w:hAnsi="宋体" w:eastAsia="宋体" w:cs="宋体"/>
                <w:color w:val="auto"/>
                <w:kern w:val="0"/>
                <w:sz w:val="22"/>
                <w:szCs w:val="22"/>
                <w:highlight w:val="none"/>
                <w:vertAlign w:val="subscript"/>
              </w:rPr>
              <w:t>2</w:t>
            </w:r>
            <w:r>
              <w:rPr>
                <w:rFonts w:hint="eastAsia" w:ascii="宋体" w:hAnsi="宋体" w:eastAsia="宋体" w:cs="宋体"/>
                <w:color w:val="auto"/>
                <w:kern w:val="0"/>
                <w:sz w:val="22"/>
                <w:szCs w:val="22"/>
                <w:highlight w:val="none"/>
              </w:rPr>
              <w:t>浓度为370µmol/mol时读数的%每℃）：≤典型值±0.02%。</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15. 对H</w:t>
            </w:r>
            <w:r>
              <w:rPr>
                <w:rFonts w:hint="eastAsia" w:ascii="宋体" w:hAnsi="宋体" w:eastAsia="宋体" w:cs="宋体"/>
                <w:color w:val="auto"/>
                <w:kern w:val="0"/>
                <w:sz w:val="22"/>
                <w:szCs w:val="22"/>
                <w:highlight w:val="none"/>
                <w:vertAlign w:val="subscript"/>
              </w:rPr>
              <w:t>2</w:t>
            </w:r>
            <w:r>
              <w:rPr>
                <w:rFonts w:hint="eastAsia" w:ascii="宋体" w:hAnsi="宋体" w:eastAsia="宋体" w:cs="宋体"/>
                <w:color w:val="auto"/>
                <w:kern w:val="0"/>
                <w:sz w:val="22"/>
                <w:szCs w:val="22"/>
                <w:highlight w:val="none"/>
              </w:rPr>
              <w:t>O的敏感度（mol CO</w:t>
            </w:r>
            <w:r>
              <w:rPr>
                <w:rFonts w:hint="eastAsia" w:ascii="宋体" w:hAnsi="宋体" w:eastAsia="宋体" w:cs="宋体"/>
                <w:color w:val="auto"/>
                <w:kern w:val="0"/>
                <w:sz w:val="22"/>
                <w:szCs w:val="22"/>
                <w:highlight w:val="none"/>
                <w:vertAlign w:val="subscript"/>
              </w:rPr>
              <w:t>2</w:t>
            </w:r>
            <w:r>
              <w:rPr>
                <w:rFonts w:hint="eastAsia" w:ascii="宋体" w:hAnsi="宋体" w:eastAsia="宋体" w:cs="宋体"/>
                <w:color w:val="auto"/>
                <w:kern w:val="0"/>
                <w:sz w:val="22"/>
                <w:szCs w:val="22"/>
                <w:highlight w:val="none"/>
              </w:rPr>
              <w:t>/mol H</w:t>
            </w:r>
            <w:r>
              <w:rPr>
                <w:rFonts w:hint="eastAsia" w:ascii="宋体" w:hAnsi="宋体" w:eastAsia="宋体" w:cs="宋体"/>
                <w:color w:val="auto"/>
                <w:kern w:val="0"/>
                <w:sz w:val="22"/>
                <w:szCs w:val="22"/>
                <w:highlight w:val="none"/>
                <w:vertAlign w:val="subscript"/>
              </w:rPr>
              <w:t>2</w:t>
            </w:r>
            <w:r>
              <w:rPr>
                <w:rFonts w:hint="eastAsia" w:ascii="宋体" w:hAnsi="宋体" w:eastAsia="宋体" w:cs="宋体"/>
                <w:color w:val="auto"/>
                <w:kern w:val="0"/>
                <w:sz w:val="22"/>
                <w:szCs w:val="22"/>
                <w:highlight w:val="none"/>
              </w:rPr>
              <w:t>O）：典型值≤±0.00002；最大值≤±0.00004。</w:t>
            </w:r>
            <w:r>
              <w:rPr>
                <w:rFonts w:hint="eastAsia" w:ascii="宋体" w:hAnsi="宋体" w:eastAsia="宋体" w:cs="宋体"/>
                <w:color w:val="auto"/>
                <w:kern w:val="0"/>
                <w:sz w:val="22"/>
                <w:szCs w:val="22"/>
                <w:highlight w:val="none"/>
              </w:rPr>
              <w:br w:type="textWrapping"/>
            </w:r>
            <w:r>
              <w:rPr>
                <w:rFonts w:hint="eastAsia" w:ascii="宋体" w:hAnsi="宋体" w:eastAsia="宋体" w:cs="宋体"/>
                <w:b/>
                <w:bCs/>
                <w:color w:val="auto"/>
                <w:kern w:val="0"/>
                <w:sz w:val="22"/>
                <w:szCs w:val="22"/>
                <w:highlight w:val="none"/>
              </w:rPr>
              <w:t>H</w:t>
            </w:r>
            <w:r>
              <w:rPr>
                <w:rFonts w:hint="eastAsia" w:ascii="宋体" w:hAnsi="宋体" w:eastAsia="宋体" w:cs="宋体"/>
                <w:b/>
                <w:bCs/>
                <w:color w:val="auto"/>
                <w:kern w:val="0"/>
                <w:sz w:val="22"/>
                <w:szCs w:val="22"/>
                <w:highlight w:val="none"/>
                <w:vertAlign w:val="subscript"/>
              </w:rPr>
              <w:t>2</w:t>
            </w:r>
            <w:r>
              <w:rPr>
                <w:rFonts w:hint="eastAsia" w:ascii="宋体" w:hAnsi="宋体" w:eastAsia="宋体" w:cs="宋体"/>
                <w:b/>
                <w:bCs/>
                <w:color w:val="auto"/>
                <w:kern w:val="0"/>
                <w:sz w:val="22"/>
                <w:szCs w:val="22"/>
                <w:highlight w:val="none"/>
              </w:rPr>
              <w:t>O测量：</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16.准确度：≤读数的1%。</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17.零点漂移 (每℃)：典型值≤±0.03 mmol/mol。</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RMS噪音/分辨率（环境H</w:t>
            </w:r>
            <w:r>
              <w:rPr>
                <w:rFonts w:hint="eastAsia" w:ascii="宋体" w:hAnsi="宋体" w:eastAsia="宋体" w:cs="宋体"/>
                <w:color w:val="auto"/>
                <w:kern w:val="0"/>
                <w:sz w:val="22"/>
                <w:szCs w:val="22"/>
                <w:highlight w:val="none"/>
                <w:vertAlign w:val="subscript"/>
              </w:rPr>
              <w:t>2</w:t>
            </w:r>
            <w:r>
              <w:rPr>
                <w:rFonts w:hint="eastAsia" w:ascii="宋体" w:hAnsi="宋体" w:eastAsia="宋体" w:cs="宋体"/>
                <w:color w:val="auto"/>
                <w:kern w:val="0"/>
                <w:sz w:val="22"/>
                <w:szCs w:val="22"/>
                <w:highlight w:val="none"/>
              </w:rPr>
              <w:t>O浓度为10 mmol/mol时的典型值）：5Hz：≤0.0034 mmol/mol；10 Hz：≤0.0047 mmol/mol。</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18.增益漂移（H</w:t>
            </w:r>
            <w:r>
              <w:rPr>
                <w:rFonts w:hint="eastAsia" w:ascii="宋体" w:hAnsi="宋体" w:eastAsia="宋体" w:cs="宋体"/>
                <w:color w:val="auto"/>
                <w:kern w:val="0"/>
                <w:sz w:val="22"/>
                <w:szCs w:val="22"/>
                <w:highlight w:val="none"/>
                <w:vertAlign w:val="subscript"/>
              </w:rPr>
              <w:t>2</w:t>
            </w:r>
            <w:r>
              <w:rPr>
                <w:rFonts w:hint="eastAsia" w:ascii="宋体" w:hAnsi="宋体" w:eastAsia="宋体" w:cs="宋体"/>
                <w:color w:val="auto"/>
                <w:kern w:val="0"/>
                <w:sz w:val="22"/>
                <w:szCs w:val="22"/>
                <w:highlight w:val="none"/>
              </w:rPr>
              <w:t>O浓度为20mmol/mol时读数的%每℃)：典型≤±0.15%。</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三维超声风速仪</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19.风速：范围：0</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65 m/s；准确度：≤1.5% RMS（在风速12 m/s时）；分辨率：≤0.01 m/s。</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风向：范围：≤0</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359º；分辨率：≤0.1º；精度：≤2º（在风速12 m/s时）。</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20.内部采样频率：≥32Hz。</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21.耐受降雨强度：300mm/hr</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涡度相关测量系统专用软件</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22.结果经EdiRE及其他多款常用软件所验证</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23.可提供GHG-Europe与AmeriFlux标准格式数据输出具有远程数据传输功能，传输半小时的真实通量计算值，能够完成在线计算通量，同步完成各种修正：去倾，数据同步，WPL修正，谱修正等。</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涡度协方差专用数据分析软件</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24.支持通量贡献区(Footprint)建模，允许查看监测点地图，并可在足迹计算功能中，实现对通量贡献区的作图和通量区域分割。</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25.可使用并选择附近的气象站(来自NOAA-IS或ERA-Interim)数据进行数据插补通量监测中丢失的气象数据。</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26.可使用ICOS的边际分布取样技术Marginal Distribution Sampling（MDS），根据水汽压亏缺、太阳总辐射和空气温度这些参数，插补生态系统气体通量数据、感热数据和潜热数据。</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配置要求：</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1.开路式CO</w:t>
            </w:r>
            <w:r>
              <w:rPr>
                <w:rFonts w:hint="eastAsia" w:ascii="宋体" w:hAnsi="宋体" w:eastAsia="宋体" w:cs="宋体"/>
                <w:color w:val="auto"/>
                <w:kern w:val="0"/>
                <w:sz w:val="22"/>
                <w:szCs w:val="22"/>
                <w:highlight w:val="none"/>
                <w:vertAlign w:val="subscript"/>
              </w:rPr>
              <w:t>2</w:t>
            </w:r>
            <w:r>
              <w:rPr>
                <w:rFonts w:hint="eastAsia" w:ascii="宋体" w:hAnsi="宋体" w:eastAsia="宋体" w:cs="宋体"/>
                <w:color w:val="auto"/>
                <w:kern w:val="0"/>
                <w:sz w:val="22"/>
                <w:szCs w:val="22"/>
                <w:highlight w:val="none"/>
              </w:rPr>
              <w:t>/H</w:t>
            </w:r>
            <w:r>
              <w:rPr>
                <w:rFonts w:hint="eastAsia" w:ascii="宋体" w:hAnsi="宋体" w:eastAsia="宋体" w:cs="宋体"/>
                <w:color w:val="auto"/>
                <w:kern w:val="0"/>
                <w:sz w:val="22"/>
                <w:szCs w:val="22"/>
                <w:highlight w:val="none"/>
                <w:vertAlign w:val="subscript"/>
              </w:rPr>
              <w:t>2</w:t>
            </w:r>
            <w:r>
              <w:rPr>
                <w:rFonts w:hint="eastAsia" w:ascii="宋体" w:hAnsi="宋体" w:eastAsia="宋体" w:cs="宋体"/>
                <w:color w:val="auto"/>
                <w:kern w:val="0"/>
                <w:sz w:val="22"/>
                <w:szCs w:val="22"/>
                <w:highlight w:val="none"/>
              </w:rPr>
              <w:t>O分析仪：1套</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2.三维超声风速仪：1套</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3.通量在线实时计算模块：1套</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4.供电装置：1套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5.安装支架与固定配件：1套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6.软件及手册：1套</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7.涡度通量分析软件：1套</w:t>
            </w:r>
          </w:p>
          <w:p w14:paraId="7D1E32CB">
            <w:pPr>
              <w:keepNext w:val="0"/>
              <w:keepLines w:val="0"/>
              <w:widowControl/>
              <w:suppressLineNumbers w:val="0"/>
              <w:jc w:val="left"/>
              <w:rPr>
                <w:color w:val="auto"/>
                <w:highlight w:val="none"/>
              </w:rPr>
            </w:pPr>
            <w:r>
              <w:rPr>
                <w:rFonts w:hint="eastAsia" w:ascii="宋体" w:hAnsi="宋体" w:eastAsia="宋体" w:cs="宋体"/>
                <w:color w:val="auto"/>
                <w:kern w:val="0"/>
                <w:sz w:val="22"/>
                <w:szCs w:val="22"/>
                <w:highlight w:val="none"/>
                <w:lang w:val="en-US" w:eastAsia="zh-CN"/>
              </w:rPr>
              <w:t>8.数据接收设备：1套（Precision 5860 塔式）</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bidi="ar"/>
              </w:rPr>
              <w:t xml:space="preserve">号条款为加分项，投标需提供合法来源渠道证 </w:t>
            </w:r>
          </w:p>
          <w:p w14:paraId="23FAC9FB">
            <w:pPr>
              <w:keepNext w:val="0"/>
              <w:keepLines w:val="0"/>
              <w:widowControl/>
              <w:suppressLineNumbers w:val="0"/>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
              </w:rPr>
              <w:t>明文件</w:t>
            </w:r>
          </w:p>
        </w:tc>
        <w:tc>
          <w:tcPr>
            <w:tcW w:w="709" w:type="dxa"/>
            <w:noWrap w:val="0"/>
            <w:vAlign w:val="center"/>
          </w:tcPr>
          <w:p w14:paraId="58D2B19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w:t>
            </w:r>
          </w:p>
        </w:tc>
        <w:tc>
          <w:tcPr>
            <w:tcW w:w="790" w:type="dxa"/>
            <w:noWrap w:val="0"/>
            <w:vAlign w:val="center"/>
          </w:tcPr>
          <w:p w14:paraId="740AAE1D">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套</w:t>
            </w:r>
          </w:p>
        </w:tc>
        <w:tc>
          <w:tcPr>
            <w:tcW w:w="894" w:type="dxa"/>
            <w:noWrap w:val="0"/>
            <w:vAlign w:val="top"/>
          </w:tcPr>
          <w:p w14:paraId="0051424E">
            <w:pPr>
              <w:widowControl w:val="0"/>
              <w:jc w:val="center"/>
              <w:rPr>
                <w:rFonts w:hint="eastAsia" w:eastAsia="宋体"/>
                <w:color w:val="auto"/>
                <w:highlight w:val="none"/>
                <w:vertAlign w:val="baseline"/>
                <w:lang w:val="en-US" w:eastAsia="zh-CN"/>
              </w:rPr>
            </w:pPr>
          </w:p>
        </w:tc>
      </w:tr>
      <w:tr w14:paraId="1416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6" w:hRule="atLeast"/>
        </w:trPr>
        <w:tc>
          <w:tcPr>
            <w:tcW w:w="747" w:type="dxa"/>
            <w:noWrap w:val="0"/>
            <w:vAlign w:val="center"/>
          </w:tcPr>
          <w:p w14:paraId="7FF2EAB6">
            <w:pPr>
              <w:widowControl/>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kern w:val="0"/>
                <w:sz w:val="22"/>
                <w:szCs w:val="22"/>
                <w:highlight w:val="none"/>
              </w:rPr>
              <w:t>2</w:t>
            </w:r>
          </w:p>
        </w:tc>
        <w:tc>
          <w:tcPr>
            <w:tcW w:w="1342" w:type="dxa"/>
            <w:noWrap w:val="0"/>
            <w:vAlign w:val="center"/>
          </w:tcPr>
          <w:p w14:paraId="2678534A">
            <w:pPr>
              <w:keepNext w:val="0"/>
              <w:keepLines w:val="0"/>
              <w:pageBreakBefore w:val="0"/>
              <w:widowControl/>
              <w:suppressLineNumbers w:val="0"/>
              <w:kinsoku/>
              <w:wordWrap/>
              <w:overflowPunct/>
              <w:topLinePunct w:val="0"/>
              <w:autoSpaceDE/>
              <w:autoSpaceDN/>
              <w:bidi w:val="0"/>
              <w:adjustRightInd/>
              <w:snapToGrid/>
              <w:jc w:val="left"/>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大气温室气体测量系统</w:t>
            </w:r>
            <w:r>
              <w:rPr>
                <w:rFonts w:hint="eastAsia" w:ascii="宋体" w:hAnsi="宋体" w:eastAsia="宋体" w:cs="宋体"/>
                <w:i w:val="0"/>
                <w:iCs w:val="0"/>
                <w:color w:val="auto"/>
                <w:kern w:val="0"/>
                <w:sz w:val="20"/>
                <w:szCs w:val="20"/>
                <w:highlight w:val="none"/>
                <w:u w:val="none"/>
                <w:lang w:val="en-US" w:eastAsia="zh-CN" w:bidi="ar"/>
              </w:rPr>
              <w:t>（本产品已做进口产品论证，允许采购进口产品）</w:t>
            </w:r>
          </w:p>
        </w:tc>
        <w:tc>
          <w:tcPr>
            <w:tcW w:w="4836" w:type="dxa"/>
            <w:noWrap w:val="0"/>
            <w:vAlign w:val="top"/>
          </w:tcPr>
          <w:p w14:paraId="6C49A7DA">
            <w:pPr>
              <w:keepNext w:val="0"/>
              <w:keepLines w:val="0"/>
              <w:widowControl/>
              <w:suppressLineNumbers w:val="0"/>
              <w:jc w:val="left"/>
              <w:rPr>
                <w:color w:val="auto"/>
                <w:highlight w:val="none"/>
              </w:rPr>
            </w:pPr>
            <w:r>
              <w:rPr>
                <w:rFonts w:hint="eastAsia" w:ascii="宋体" w:hAnsi="宋体" w:eastAsia="宋体" w:cs="宋体"/>
                <w:color w:val="auto"/>
                <w:kern w:val="0"/>
                <w:sz w:val="22"/>
                <w:szCs w:val="22"/>
                <w:highlight w:val="none"/>
              </w:rPr>
              <w:t>1.测量技术：光反馈-腔增强吸收光谱技术 (OF-CEAS)</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检测器</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2.测量频率：1次/秒</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3.光腔体积: ＜7 cm</w:t>
            </w:r>
            <w:r>
              <w:rPr>
                <w:rFonts w:hint="eastAsia" w:ascii="宋体" w:hAnsi="宋体" w:eastAsia="宋体" w:cs="宋体"/>
                <w:color w:val="auto"/>
                <w:kern w:val="0"/>
                <w:sz w:val="22"/>
                <w:szCs w:val="22"/>
                <w:highlight w:val="none"/>
                <w:vertAlign w:val="superscript"/>
              </w:rPr>
              <w:t>3</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4.流速: 250 sccm（标准毫升每分钟）</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5.★操作环境: -25℃ </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 xml:space="preserve"> 45 ℃；70 </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 xml:space="preserve"> 110 kPa</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6.连接方式: 以太网和 Wi-Fi，可远程无线连接，手机终端在线演示与控制，无需下载APP</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7.★功耗: 稳态≤20W</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8.★响应时间(T</w:t>
            </w:r>
            <w:r>
              <w:rPr>
                <w:rFonts w:hint="eastAsia" w:ascii="宋体" w:hAnsi="宋体" w:eastAsia="宋体" w:cs="宋体"/>
                <w:color w:val="auto"/>
                <w:kern w:val="0"/>
                <w:sz w:val="22"/>
                <w:szCs w:val="22"/>
                <w:highlight w:val="none"/>
                <w:vertAlign w:val="subscript"/>
              </w:rPr>
              <w:t>90</w:t>
            </w:r>
            <w:r>
              <w:rPr>
                <w:rFonts w:hint="eastAsia" w:ascii="宋体" w:hAnsi="宋体" w:eastAsia="宋体" w:cs="宋体"/>
                <w:color w:val="auto"/>
                <w:kern w:val="0"/>
                <w:sz w:val="22"/>
                <w:szCs w:val="22"/>
                <w:highlight w:val="none"/>
              </w:rPr>
              <w:t>): 从 0 到 2 μmol/mol， CH</w:t>
            </w:r>
            <w:r>
              <w:rPr>
                <w:rFonts w:hint="eastAsia" w:ascii="宋体" w:hAnsi="宋体" w:eastAsia="宋体" w:cs="宋体"/>
                <w:color w:val="auto"/>
                <w:kern w:val="0"/>
                <w:sz w:val="22"/>
                <w:szCs w:val="22"/>
                <w:highlight w:val="none"/>
                <w:vertAlign w:val="subscript"/>
              </w:rPr>
              <w:t>4</w:t>
            </w:r>
            <w:r>
              <w:rPr>
                <w:rFonts w:hint="eastAsia" w:ascii="宋体" w:hAnsi="宋体" w:eastAsia="宋体" w:cs="宋体"/>
                <w:color w:val="auto"/>
                <w:kern w:val="0"/>
                <w:sz w:val="22"/>
                <w:szCs w:val="22"/>
                <w:highlight w:val="none"/>
              </w:rPr>
              <w:t xml:space="preserve"> 响应时间≤2 秒</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CH</w:t>
            </w:r>
            <w:r>
              <w:rPr>
                <w:rFonts w:hint="eastAsia" w:ascii="宋体" w:hAnsi="宋体" w:eastAsia="宋体" w:cs="宋体"/>
                <w:color w:val="auto"/>
                <w:kern w:val="0"/>
                <w:sz w:val="22"/>
                <w:szCs w:val="22"/>
                <w:highlight w:val="none"/>
                <w:vertAlign w:val="subscript"/>
              </w:rPr>
              <w:t>4</w:t>
            </w:r>
            <w:r>
              <w:rPr>
                <w:rFonts w:hint="eastAsia" w:ascii="宋体" w:hAnsi="宋体" w:eastAsia="宋体" w:cs="宋体"/>
                <w:color w:val="auto"/>
                <w:kern w:val="0"/>
                <w:sz w:val="22"/>
                <w:szCs w:val="22"/>
                <w:highlight w:val="none"/>
              </w:rPr>
              <w:t>分析器</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10.★CH</w:t>
            </w:r>
            <w:r>
              <w:rPr>
                <w:rFonts w:hint="eastAsia" w:ascii="宋体" w:hAnsi="宋体" w:eastAsia="宋体" w:cs="宋体"/>
                <w:color w:val="auto"/>
                <w:kern w:val="0"/>
                <w:sz w:val="22"/>
                <w:szCs w:val="22"/>
                <w:highlight w:val="none"/>
                <w:vertAlign w:val="subscript"/>
              </w:rPr>
              <w:t>4</w:t>
            </w:r>
            <w:r>
              <w:rPr>
                <w:rFonts w:hint="eastAsia" w:ascii="宋体" w:hAnsi="宋体" w:eastAsia="宋体" w:cs="宋体"/>
                <w:color w:val="auto"/>
                <w:kern w:val="0"/>
                <w:sz w:val="22"/>
                <w:szCs w:val="22"/>
                <w:highlight w:val="none"/>
              </w:rPr>
              <w:t>测量范围</w:t>
            </w:r>
            <w:r>
              <w:rPr>
                <w:rFonts w:hint="eastAsia" w:ascii="宋体" w:hAnsi="宋体" w:eastAsia="宋体" w:cs="宋体"/>
                <w:color w:val="auto"/>
                <w:kern w:val="0"/>
                <w:sz w:val="22"/>
                <w:szCs w:val="22"/>
                <w:highlight w:val="none"/>
              </w:rPr>
              <w:t>：0 ~ 100 μmol/mol；</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11.测量精度：5秒信号平均≤0.25 ppb，1秒信号平均≤0.60ppb；</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12.最大漂移：每24小时&lt; 1 ppb</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CO</w:t>
            </w:r>
            <w:r>
              <w:rPr>
                <w:rFonts w:hint="eastAsia" w:ascii="宋体" w:hAnsi="宋体" w:eastAsia="宋体" w:cs="宋体"/>
                <w:color w:val="auto"/>
                <w:kern w:val="0"/>
                <w:sz w:val="22"/>
                <w:szCs w:val="22"/>
                <w:highlight w:val="none"/>
                <w:vertAlign w:val="subscript"/>
              </w:rPr>
              <w:t>2</w:t>
            </w:r>
            <w:r>
              <w:rPr>
                <w:rFonts w:hint="eastAsia" w:ascii="宋体" w:hAnsi="宋体" w:eastAsia="宋体" w:cs="宋体"/>
                <w:color w:val="auto"/>
                <w:kern w:val="0"/>
                <w:sz w:val="22"/>
                <w:szCs w:val="22"/>
                <w:highlight w:val="none"/>
              </w:rPr>
              <w:t>分析器</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13.CO</w:t>
            </w:r>
            <w:r>
              <w:rPr>
                <w:rFonts w:hint="eastAsia" w:ascii="宋体" w:hAnsi="宋体" w:eastAsia="宋体" w:cs="宋体"/>
                <w:color w:val="auto"/>
                <w:kern w:val="0"/>
                <w:sz w:val="22"/>
                <w:szCs w:val="22"/>
                <w:highlight w:val="none"/>
                <w:vertAlign w:val="subscript"/>
              </w:rPr>
              <w:t>2</w:t>
            </w:r>
            <w:r>
              <w:rPr>
                <w:rFonts w:hint="eastAsia" w:ascii="宋体" w:hAnsi="宋体" w:eastAsia="宋体" w:cs="宋体"/>
                <w:color w:val="auto"/>
                <w:kern w:val="0"/>
                <w:sz w:val="22"/>
                <w:szCs w:val="22"/>
                <w:highlight w:val="none"/>
              </w:rPr>
              <w:t xml:space="preserve">测量范围：0 </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 xml:space="preserve"> 10,000 μmol/mol；</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14.测量精度：5秒信号平均≤1.5 μmol/mol，1秒信号平均≤3.5 μmol/mol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H</w:t>
            </w:r>
            <w:r>
              <w:rPr>
                <w:rFonts w:hint="eastAsia" w:ascii="宋体" w:hAnsi="宋体" w:eastAsia="宋体" w:cs="宋体"/>
                <w:color w:val="auto"/>
                <w:kern w:val="0"/>
                <w:sz w:val="22"/>
                <w:szCs w:val="22"/>
                <w:highlight w:val="none"/>
                <w:vertAlign w:val="subscript"/>
              </w:rPr>
              <w:t>2</w:t>
            </w:r>
            <w:r>
              <w:rPr>
                <w:rFonts w:hint="eastAsia" w:ascii="宋体" w:hAnsi="宋体" w:eastAsia="宋体" w:cs="宋体"/>
                <w:color w:val="auto"/>
                <w:kern w:val="0"/>
                <w:sz w:val="22"/>
                <w:szCs w:val="22"/>
                <w:highlight w:val="none"/>
              </w:rPr>
              <w:t>O分析器</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15.H</w:t>
            </w:r>
            <w:r>
              <w:rPr>
                <w:rFonts w:hint="eastAsia" w:ascii="宋体" w:hAnsi="宋体" w:eastAsia="宋体" w:cs="宋体"/>
                <w:color w:val="auto"/>
                <w:kern w:val="0"/>
                <w:sz w:val="22"/>
                <w:szCs w:val="22"/>
                <w:highlight w:val="none"/>
                <w:vertAlign w:val="subscript"/>
              </w:rPr>
              <w:t>2</w:t>
            </w:r>
            <w:r>
              <w:rPr>
                <w:rFonts w:hint="eastAsia" w:ascii="宋体" w:hAnsi="宋体" w:eastAsia="宋体" w:cs="宋体"/>
                <w:color w:val="auto"/>
                <w:kern w:val="0"/>
                <w:sz w:val="22"/>
                <w:szCs w:val="22"/>
                <w:highlight w:val="none"/>
              </w:rPr>
              <w:t xml:space="preserve">O测量范围：0 </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 xml:space="preserve"> 60,000 μmol/mol；</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16.测量精度：5秒信号平均≤20 μmol/mol，1秒信号平均≤45 μmol/mol</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配置：</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1.主机分析仪：1套</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2.充电电池：2块</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3.充电器：1套</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4.管路配件：1套</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5.说明书：1套</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bidi="ar"/>
              </w:rPr>
              <w:t xml:space="preserve">号条款为加分项，投标需提供合法来源渠道证 </w:t>
            </w:r>
          </w:p>
          <w:p w14:paraId="16BC2407">
            <w:pPr>
              <w:keepNext w:val="0"/>
              <w:keepLines w:val="0"/>
              <w:widowControl/>
              <w:suppressLineNumbers w:val="0"/>
              <w:jc w:val="left"/>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kern w:val="0"/>
                <w:sz w:val="22"/>
                <w:szCs w:val="22"/>
                <w:highlight w:val="none"/>
                <w:lang w:val="en-US" w:eastAsia="zh-CN" w:bidi="ar"/>
              </w:rPr>
              <w:t>明文件</w:t>
            </w:r>
          </w:p>
        </w:tc>
        <w:tc>
          <w:tcPr>
            <w:tcW w:w="709" w:type="dxa"/>
            <w:noWrap w:val="0"/>
            <w:vAlign w:val="center"/>
          </w:tcPr>
          <w:p w14:paraId="24A01E8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w:t>
            </w:r>
          </w:p>
        </w:tc>
        <w:tc>
          <w:tcPr>
            <w:tcW w:w="790" w:type="dxa"/>
            <w:noWrap w:val="0"/>
            <w:vAlign w:val="center"/>
          </w:tcPr>
          <w:p w14:paraId="7C24CBFD">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套</w:t>
            </w:r>
          </w:p>
        </w:tc>
        <w:tc>
          <w:tcPr>
            <w:tcW w:w="894" w:type="dxa"/>
            <w:noWrap w:val="0"/>
            <w:vAlign w:val="top"/>
          </w:tcPr>
          <w:p w14:paraId="68D46263">
            <w:pPr>
              <w:widowControl w:val="0"/>
              <w:jc w:val="center"/>
              <w:rPr>
                <w:color w:val="auto"/>
                <w:highlight w:val="none"/>
                <w:vertAlign w:val="baseline"/>
              </w:rPr>
            </w:pPr>
          </w:p>
        </w:tc>
      </w:tr>
      <w:tr w14:paraId="00B4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1359CA07">
            <w:pPr>
              <w:widowControl/>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kern w:val="0"/>
                <w:sz w:val="22"/>
                <w:szCs w:val="22"/>
                <w:highlight w:val="none"/>
              </w:rPr>
              <w:t>3</w:t>
            </w:r>
          </w:p>
        </w:tc>
        <w:tc>
          <w:tcPr>
            <w:tcW w:w="1342" w:type="dxa"/>
            <w:noWrap w:val="0"/>
            <w:vAlign w:val="center"/>
          </w:tcPr>
          <w:p w14:paraId="386723CB">
            <w:pPr>
              <w:keepNext w:val="0"/>
              <w:keepLines w:val="0"/>
              <w:pageBreakBefore w:val="0"/>
              <w:widowControl/>
              <w:suppressLineNumbers w:val="0"/>
              <w:kinsoku/>
              <w:wordWrap/>
              <w:overflowPunct/>
              <w:topLinePunct w:val="0"/>
              <w:autoSpaceDE/>
              <w:autoSpaceDN/>
              <w:bidi w:val="0"/>
              <w:adjustRightInd/>
              <w:snapToGrid/>
              <w:jc w:val="left"/>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梯度气象站</w:t>
            </w:r>
          </w:p>
        </w:tc>
        <w:tc>
          <w:tcPr>
            <w:tcW w:w="4836" w:type="dxa"/>
            <w:noWrap w:val="0"/>
            <w:vAlign w:val="top"/>
          </w:tcPr>
          <w:p w14:paraId="5B79EFF5">
            <w:pPr>
              <w:widowControl/>
              <w:jc w:val="left"/>
              <w:textAlignment w:val="top"/>
              <w:rPr>
                <w:ins w:id="22" w:author="Andy" w:date="2025-06-23T00:13:31Z"/>
                <w:rStyle w:val="67"/>
                <w:rFonts w:hint="default"/>
                <w:color w:val="auto"/>
                <w:highlight w:val="none"/>
              </w:rPr>
            </w:pPr>
            <w:r>
              <w:rPr>
                <w:rStyle w:val="67"/>
                <w:rFonts w:hint="default"/>
                <w:color w:val="auto"/>
                <w:highlight w:val="none"/>
              </w:rPr>
              <w:t>1.空气温湿度传感器：温度测量范围：-45～65℃、湿度量程：0～100%；</w:t>
            </w:r>
            <w:r>
              <w:rPr>
                <w:rStyle w:val="67"/>
                <w:rFonts w:hint="default"/>
                <w:color w:val="auto"/>
                <w:highlight w:val="none"/>
              </w:rPr>
              <w:br w:type="textWrapping"/>
            </w:r>
            <w:r>
              <w:rPr>
                <w:rStyle w:val="67"/>
                <w:rFonts w:hint="default"/>
                <w:color w:val="auto"/>
                <w:highlight w:val="none"/>
              </w:rPr>
              <w:t>2．风速传感器：测量范围：0～60m/s；</w:t>
            </w:r>
            <w:r>
              <w:rPr>
                <w:rStyle w:val="67"/>
                <w:rFonts w:hint="default"/>
                <w:color w:val="auto"/>
                <w:highlight w:val="none"/>
              </w:rPr>
              <w:br w:type="textWrapping"/>
            </w:r>
            <w:r>
              <w:rPr>
                <w:rStyle w:val="67"/>
                <w:rFonts w:hint="default"/>
                <w:color w:val="auto"/>
                <w:highlight w:val="none"/>
              </w:rPr>
              <w:t>3.风向传感器：测量范围：0～360°；</w:t>
            </w:r>
            <w:r>
              <w:rPr>
                <w:rStyle w:val="67"/>
                <w:rFonts w:hint="default"/>
                <w:color w:val="auto"/>
                <w:highlight w:val="none"/>
              </w:rPr>
              <w:br w:type="textWrapping"/>
            </w:r>
            <w:r>
              <w:rPr>
                <w:rStyle w:val="67"/>
                <w:rFonts w:hint="default"/>
                <w:color w:val="auto"/>
                <w:highlight w:val="none"/>
              </w:rPr>
              <w:t>4.气压传感器：量程：600～1100 hPa；</w:t>
            </w:r>
            <w:r>
              <w:rPr>
                <w:rStyle w:val="67"/>
                <w:rFonts w:hint="default"/>
                <w:color w:val="auto"/>
                <w:highlight w:val="none"/>
              </w:rPr>
              <w:br w:type="textWrapping"/>
            </w:r>
            <w:r>
              <w:rPr>
                <w:rStyle w:val="67"/>
                <w:rFonts w:hint="default"/>
                <w:color w:val="auto"/>
                <w:highlight w:val="none"/>
              </w:rPr>
              <w:t>5.雨量传感器： 传感器类型：翻斗式、量程：0～700mm/h；</w:t>
            </w:r>
            <w:r>
              <w:rPr>
                <w:rStyle w:val="67"/>
                <w:rFonts w:hint="default"/>
                <w:color w:val="auto"/>
                <w:highlight w:val="none"/>
              </w:rPr>
              <w:br w:type="textWrapping"/>
            </w:r>
            <w:r>
              <w:rPr>
                <w:rStyle w:val="67"/>
                <w:rFonts w:hint="default"/>
                <w:color w:val="auto"/>
                <w:highlight w:val="none"/>
              </w:rPr>
              <w:t>6.太阳辐射传感器：响应光谱：400～1100nm、量程：0～2000 W/m</w:t>
            </w:r>
            <w:r>
              <w:rPr>
                <w:rStyle w:val="67"/>
                <w:rFonts w:hint="default"/>
                <w:color w:val="auto"/>
                <w:highlight w:val="none"/>
                <w:vertAlign w:val="superscript"/>
              </w:rPr>
              <w:t>2</w:t>
            </w:r>
            <w:r>
              <w:rPr>
                <w:rStyle w:val="67"/>
                <w:rFonts w:hint="default"/>
                <w:color w:val="auto"/>
                <w:highlight w:val="none"/>
              </w:rPr>
              <w:t>；</w:t>
            </w:r>
          </w:p>
          <w:p w14:paraId="70963951">
            <w:pPr>
              <w:widowControl/>
              <w:jc w:val="left"/>
              <w:textAlignment w:val="top"/>
              <w:rPr>
                <w:ins w:id="23" w:author="Andy" w:date="2025-06-23T00:15:49Z"/>
                <w:rStyle w:val="67"/>
                <w:rFonts w:hint="default"/>
                <w:color w:val="auto"/>
                <w:highlight w:val="none"/>
              </w:rPr>
            </w:pPr>
            <w:r>
              <w:rPr>
                <w:rStyle w:val="67"/>
                <w:rFonts w:hint="default"/>
                <w:color w:val="auto"/>
                <w:highlight w:val="none"/>
              </w:rPr>
              <w:t>7.光合有效辐射传感器：量程：0～2000</w:t>
            </w:r>
            <w:r>
              <w:rPr>
                <w:rStyle w:val="149"/>
                <w:rFonts w:eastAsia="宋体"/>
                <w:color w:val="auto"/>
                <w:highlight w:val="none"/>
              </w:rPr>
              <w:t>μ</w:t>
            </w:r>
            <w:r>
              <w:rPr>
                <w:rStyle w:val="67"/>
                <w:rFonts w:hint="default"/>
                <w:color w:val="auto"/>
                <w:highlight w:val="none"/>
              </w:rPr>
              <w:t>mol•m</w:t>
            </w:r>
            <w:r>
              <w:rPr>
                <w:rStyle w:val="67"/>
                <w:rFonts w:hint="default"/>
                <w:color w:val="auto"/>
                <w:highlight w:val="none"/>
                <w:vertAlign w:val="superscript"/>
              </w:rPr>
              <w:t>-2</w:t>
            </w:r>
            <w:r>
              <w:rPr>
                <w:rStyle w:val="67"/>
                <w:rFonts w:hint="default"/>
                <w:color w:val="auto"/>
                <w:highlight w:val="none"/>
              </w:rPr>
              <w:t>•s</w:t>
            </w:r>
            <w:r>
              <w:rPr>
                <w:rStyle w:val="67"/>
                <w:rFonts w:hint="default"/>
                <w:color w:val="auto"/>
                <w:highlight w:val="none"/>
                <w:vertAlign w:val="superscript"/>
              </w:rPr>
              <w:t>-1</w:t>
            </w:r>
            <w:r>
              <w:rPr>
                <w:rStyle w:val="67"/>
                <w:rFonts w:hint="default"/>
                <w:color w:val="auto"/>
                <w:highlight w:val="none"/>
              </w:rPr>
              <w:t xml:space="preserve"> ，精度：±5%，响应光谱：400 ～ 700nm；</w:t>
            </w:r>
            <w:r>
              <w:rPr>
                <w:rStyle w:val="67"/>
                <w:rFonts w:hint="default"/>
                <w:color w:val="auto"/>
                <w:highlight w:val="none"/>
              </w:rPr>
              <w:br w:type="textWrapping"/>
            </w:r>
            <w:r>
              <w:rPr>
                <w:rStyle w:val="67"/>
                <w:rFonts w:hint="default"/>
                <w:color w:val="auto"/>
                <w:highlight w:val="none"/>
              </w:rPr>
              <w:t>8.土壤热通量传感器：量程：±1000W•m</w:t>
            </w:r>
            <w:r>
              <w:rPr>
                <w:rStyle w:val="67"/>
                <w:rFonts w:hint="default"/>
                <w:color w:val="auto"/>
                <w:highlight w:val="none"/>
                <w:vertAlign w:val="superscript"/>
              </w:rPr>
              <w:t>-2</w:t>
            </w:r>
            <w:r>
              <w:rPr>
                <w:rStyle w:val="67"/>
                <w:rFonts w:hint="default"/>
                <w:color w:val="auto"/>
                <w:highlight w:val="none"/>
              </w:rPr>
              <w:t>，精度：±5%；</w:t>
            </w:r>
            <w:r>
              <w:rPr>
                <w:rStyle w:val="67"/>
                <w:rFonts w:hint="default"/>
                <w:color w:val="auto"/>
                <w:highlight w:val="none"/>
              </w:rPr>
              <w:br w:type="textWrapping"/>
            </w:r>
            <w:r>
              <w:rPr>
                <w:rStyle w:val="67"/>
                <w:rFonts w:hint="default"/>
                <w:color w:val="auto"/>
                <w:highlight w:val="none"/>
              </w:rPr>
              <w:t>9.净辐射传感器：响应光谱：305～2800nm（短波）、4500～42000nm（长波）</w:t>
            </w:r>
            <w:r>
              <w:rPr>
                <w:rStyle w:val="67"/>
                <w:rFonts w:hint="eastAsia"/>
                <w:color w:val="auto"/>
                <w:highlight w:val="none"/>
                <w:lang w:eastAsia="zh-CN"/>
              </w:rPr>
              <w:t>；</w:t>
            </w:r>
            <w:r>
              <w:rPr>
                <w:rStyle w:val="67"/>
                <w:rFonts w:hint="default"/>
                <w:color w:val="auto"/>
                <w:highlight w:val="none"/>
              </w:rPr>
              <w:br w:type="textWrapping"/>
            </w:r>
            <w:r>
              <w:rPr>
                <w:rStyle w:val="67"/>
                <w:rFonts w:hint="default"/>
                <w:color w:val="auto"/>
                <w:highlight w:val="none"/>
              </w:rPr>
              <w:t>10.紫外辐射传感器：响应光谱 210～380nm；</w:t>
            </w:r>
            <w:r>
              <w:rPr>
                <w:rStyle w:val="67"/>
                <w:rFonts w:hint="default"/>
                <w:color w:val="auto"/>
                <w:highlight w:val="none"/>
              </w:rPr>
              <w:br w:type="textWrapping"/>
            </w:r>
            <w:r>
              <w:rPr>
                <w:rStyle w:val="67"/>
                <w:rFonts w:hint="default"/>
                <w:color w:val="auto"/>
                <w:highlight w:val="none"/>
              </w:rPr>
              <w:t>11.蒸发传感器：测量范围：0～1000mm，精度：±0.1%（0.5mm）；</w:t>
            </w:r>
          </w:p>
          <w:p w14:paraId="3C79DEBE">
            <w:pPr>
              <w:widowControl/>
              <w:jc w:val="left"/>
              <w:textAlignment w:val="top"/>
              <w:rPr>
                <w:rFonts w:hint="eastAsia" w:ascii="宋体" w:hAnsi="宋体" w:eastAsia="宋体" w:cs="宋体"/>
                <w:i w:val="0"/>
                <w:iCs w:val="0"/>
                <w:color w:val="auto"/>
                <w:kern w:val="0"/>
                <w:sz w:val="22"/>
                <w:szCs w:val="22"/>
                <w:highlight w:val="none"/>
                <w:u w:val="none"/>
                <w:lang w:val="en-US" w:eastAsia="zh-CN" w:bidi="ar"/>
              </w:rPr>
            </w:pPr>
            <w:r>
              <w:rPr>
                <w:rStyle w:val="67"/>
                <w:rFonts w:hint="default"/>
                <w:color w:val="auto"/>
                <w:highlight w:val="none"/>
              </w:rPr>
              <w:t>12.日照时数传感器：响应光谱：400～1100nm，日照时数信号：1±0.1V（辐射&gt;120w/m</w:t>
            </w:r>
            <w:r>
              <w:rPr>
                <w:rStyle w:val="67"/>
                <w:rFonts w:hint="default"/>
                <w:color w:val="auto"/>
                <w:highlight w:val="none"/>
                <w:vertAlign w:val="superscript"/>
              </w:rPr>
              <w:t>2</w:t>
            </w:r>
            <w:r>
              <w:rPr>
                <w:rStyle w:val="67"/>
                <w:rFonts w:hint="default"/>
                <w:color w:val="auto"/>
                <w:highlight w:val="none"/>
              </w:rPr>
              <w:t>)</w:t>
            </w:r>
            <w:r>
              <w:rPr>
                <w:rStyle w:val="67"/>
                <w:rFonts w:hint="eastAsia"/>
                <w:color w:val="auto"/>
                <w:highlight w:val="none"/>
                <w:lang w:eastAsia="zh-CN"/>
              </w:rPr>
              <w:t>；</w:t>
            </w:r>
            <w:r>
              <w:rPr>
                <w:rStyle w:val="67"/>
                <w:rFonts w:hint="default"/>
                <w:color w:val="auto"/>
                <w:highlight w:val="none"/>
              </w:rPr>
              <w:br w:type="textWrapping"/>
            </w:r>
            <w:r>
              <w:rPr>
                <w:rStyle w:val="67"/>
                <w:rFonts w:hint="default"/>
                <w:color w:val="auto"/>
                <w:highlight w:val="none"/>
              </w:rPr>
              <w:t>13. 土壤温度传感器： 温度量程：-50～65℃；</w:t>
            </w:r>
            <w:r>
              <w:rPr>
                <w:rStyle w:val="67"/>
                <w:rFonts w:hint="default"/>
                <w:color w:val="auto"/>
                <w:highlight w:val="none"/>
              </w:rPr>
              <w:br w:type="textWrapping"/>
            </w:r>
            <w:r>
              <w:rPr>
                <w:rStyle w:val="67"/>
                <w:rFonts w:hint="default"/>
                <w:color w:val="auto"/>
                <w:highlight w:val="none"/>
              </w:rPr>
              <w:t>14．土壤水分传感器：湿度量程： 量程：0～饱和</w:t>
            </w:r>
            <w:r>
              <w:rPr>
                <w:rStyle w:val="67"/>
                <w:rFonts w:hint="eastAsia"/>
                <w:color w:val="auto"/>
                <w:highlight w:val="none"/>
                <w:lang w:eastAsia="zh-CN"/>
              </w:rPr>
              <w:t>；</w:t>
            </w:r>
            <w:r>
              <w:rPr>
                <w:rStyle w:val="67"/>
                <w:rFonts w:hint="default"/>
                <w:color w:val="auto"/>
                <w:highlight w:val="none"/>
              </w:rPr>
              <w:br w:type="textWrapping"/>
            </w:r>
            <w:r>
              <w:rPr>
                <w:rStyle w:val="67"/>
                <w:rFonts w:hint="default"/>
                <w:color w:val="auto"/>
                <w:highlight w:val="none"/>
              </w:rPr>
              <w:t>配置需求：数据采集器、空气温湿度传感器、风速传感器、风向传感器、雨量传感器、太阳辐射传感器、光合有效辐射传感器、净辐射传感器、紫外辐射传感器、日照时数传感器、红外表面温度传感器、土壤热通量传感器、土壤温度传感器、土壤水分传感器、蒸发传感器、无线传输模块、太阳能供电系统等。</w:t>
            </w:r>
          </w:p>
        </w:tc>
        <w:tc>
          <w:tcPr>
            <w:tcW w:w="709" w:type="dxa"/>
            <w:noWrap w:val="0"/>
            <w:vAlign w:val="center"/>
          </w:tcPr>
          <w:p w14:paraId="23D9D8A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w:t>
            </w:r>
          </w:p>
        </w:tc>
        <w:tc>
          <w:tcPr>
            <w:tcW w:w="790" w:type="dxa"/>
            <w:noWrap w:val="0"/>
            <w:vAlign w:val="center"/>
          </w:tcPr>
          <w:p w14:paraId="6CF30311">
            <w:pPr>
              <w:widowControl w:val="0"/>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套</w:t>
            </w:r>
          </w:p>
        </w:tc>
        <w:tc>
          <w:tcPr>
            <w:tcW w:w="894" w:type="dxa"/>
            <w:noWrap w:val="0"/>
            <w:vAlign w:val="top"/>
          </w:tcPr>
          <w:p w14:paraId="56464A8E">
            <w:pPr>
              <w:widowControl w:val="0"/>
              <w:jc w:val="center"/>
              <w:rPr>
                <w:color w:val="auto"/>
                <w:highlight w:val="none"/>
                <w:vertAlign w:val="baseline"/>
              </w:rPr>
            </w:pPr>
          </w:p>
        </w:tc>
      </w:tr>
      <w:tr w14:paraId="2CFB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2FDD9EE7">
            <w:pPr>
              <w:widowControl/>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kern w:val="0"/>
                <w:sz w:val="22"/>
                <w:szCs w:val="22"/>
                <w:highlight w:val="none"/>
              </w:rPr>
              <w:t>4</w:t>
            </w:r>
          </w:p>
        </w:tc>
        <w:tc>
          <w:tcPr>
            <w:tcW w:w="1342" w:type="dxa"/>
            <w:noWrap w:val="0"/>
            <w:vAlign w:val="center"/>
          </w:tcPr>
          <w:p w14:paraId="101318DF">
            <w:pPr>
              <w:keepNext w:val="0"/>
              <w:keepLines w:val="0"/>
              <w:pageBreakBefore w:val="0"/>
              <w:widowControl/>
              <w:suppressLineNumbers w:val="0"/>
              <w:kinsoku/>
              <w:wordWrap/>
              <w:overflowPunct/>
              <w:topLinePunct w:val="0"/>
              <w:autoSpaceDE/>
              <w:autoSpaceDN/>
              <w:bidi w:val="0"/>
              <w:adjustRightInd/>
              <w:snapToGrid/>
              <w:jc w:val="left"/>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大气干湿沉降取样器</w:t>
            </w:r>
          </w:p>
        </w:tc>
        <w:tc>
          <w:tcPr>
            <w:tcW w:w="4836" w:type="dxa"/>
            <w:noWrap w:val="0"/>
            <w:vAlign w:val="top"/>
          </w:tcPr>
          <w:p w14:paraId="6F79B175">
            <w:pPr>
              <w:widowControl/>
              <w:jc w:val="left"/>
              <w:textAlignment w:val="top"/>
              <w:rPr>
                <w:rFonts w:hint="eastAsia" w:ascii="宋体" w:hAnsi="宋体" w:eastAsia="宋体" w:cs="宋体"/>
                <w:i w:val="0"/>
                <w:iCs w:val="0"/>
                <w:color w:val="auto"/>
                <w:kern w:val="0"/>
                <w:sz w:val="22"/>
                <w:szCs w:val="22"/>
                <w:highlight w:val="none"/>
                <w:u w:val="none"/>
                <w:lang w:val="en-US" w:eastAsia="zh-CN" w:bidi="ar"/>
              </w:rPr>
            </w:pPr>
            <w:r>
              <w:rPr>
                <w:rStyle w:val="67"/>
                <w:rFonts w:hint="default"/>
                <w:color w:val="auto"/>
                <w:highlight w:val="none"/>
              </w:rPr>
              <w:t>1.采样高度：≥1.4m</w:t>
            </w:r>
            <w:r>
              <w:rPr>
                <w:rStyle w:val="67"/>
                <w:rFonts w:hint="eastAsia"/>
                <w:color w:val="auto"/>
                <w:highlight w:val="none"/>
                <w:lang w:eastAsia="zh-CN"/>
              </w:rPr>
              <w:t>；</w:t>
            </w:r>
            <w:r>
              <w:rPr>
                <w:rStyle w:val="67"/>
                <w:rFonts w:hint="default"/>
                <w:color w:val="auto"/>
                <w:highlight w:val="none"/>
              </w:rPr>
              <w:t xml:space="preserve"> </w:t>
            </w:r>
            <w:r>
              <w:rPr>
                <w:rStyle w:val="67"/>
                <w:rFonts w:hint="default"/>
                <w:color w:val="auto"/>
                <w:highlight w:val="none"/>
              </w:rPr>
              <w:br w:type="textWrapping"/>
            </w:r>
            <w:r>
              <w:rPr>
                <w:rStyle w:val="67"/>
                <w:rFonts w:hint="default"/>
                <w:color w:val="auto"/>
                <w:highlight w:val="none"/>
              </w:rPr>
              <w:t>2.降水降尘收集器直径：降水：</w:t>
            </w:r>
            <w:r>
              <w:rPr>
                <w:rStyle w:val="149"/>
                <w:rFonts w:eastAsia="宋体"/>
                <w:color w:val="auto"/>
                <w:highlight w:val="none"/>
              </w:rPr>
              <w:t>Φ</w:t>
            </w:r>
            <w:r>
              <w:rPr>
                <w:rStyle w:val="67"/>
                <w:rFonts w:hint="default"/>
                <w:color w:val="auto"/>
                <w:highlight w:val="none"/>
              </w:rPr>
              <w:t>300mm±2mm，降尘</w:t>
            </w:r>
            <w:r>
              <w:rPr>
                <w:rStyle w:val="149"/>
                <w:rFonts w:eastAsia="宋体"/>
                <w:color w:val="auto"/>
                <w:highlight w:val="none"/>
              </w:rPr>
              <w:t>Φ</w:t>
            </w:r>
            <w:r>
              <w:rPr>
                <w:rStyle w:val="67"/>
                <w:rFonts w:hint="default"/>
                <w:color w:val="auto"/>
                <w:highlight w:val="none"/>
              </w:rPr>
              <w:t>150mm</w:t>
            </w:r>
            <w:r>
              <w:rPr>
                <w:rStyle w:val="67"/>
                <w:rFonts w:hint="eastAsia"/>
                <w:color w:val="auto"/>
                <w:highlight w:val="none"/>
                <w:lang w:eastAsia="zh-CN"/>
              </w:rPr>
              <w:t>；</w:t>
            </w:r>
            <w:r>
              <w:rPr>
                <w:rStyle w:val="67"/>
                <w:rFonts w:hint="default"/>
                <w:color w:val="auto"/>
                <w:highlight w:val="none"/>
              </w:rPr>
              <w:br w:type="textWrapping"/>
            </w:r>
            <w:r>
              <w:rPr>
                <w:rStyle w:val="67"/>
                <w:rFonts w:hint="default"/>
                <w:color w:val="auto"/>
                <w:highlight w:val="none"/>
              </w:rPr>
              <w:t>3.湿式梳状雨水传感器，具有加热装置，有效防止霜雾引起的误动作；其灵敏度四档可调（mm/h）：L1:0.02；L2:0.04；L3:0.1；L4:0.2</w:t>
            </w:r>
            <w:r>
              <w:rPr>
                <w:rStyle w:val="67"/>
                <w:rFonts w:hint="eastAsia"/>
                <w:color w:val="auto"/>
                <w:highlight w:val="none"/>
                <w:lang w:eastAsia="zh-CN"/>
              </w:rPr>
              <w:t>；</w:t>
            </w:r>
            <w:r>
              <w:rPr>
                <w:rStyle w:val="67"/>
                <w:rFonts w:hint="default"/>
                <w:color w:val="auto"/>
                <w:highlight w:val="none"/>
              </w:rPr>
              <w:t xml:space="preserve"> </w:t>
            </w:r>
            <w:r>
              <w:rPr>
                <w:rStyle w:val="67"/>
                <w:rFonts w:hint="default"/>
                <w:color w:val="auto"/>
                <w:highlight w:val="none"/>
              </w:rPr>
              <w:br w:type="textWrapping"/>
            </w:r>
            <w:r>
              <w:rPr>
                <w:rStyle w:val="67"/>
                <w:rFonts w:hint="default"/>
                <w:color w:val="auto"/>
                <w:highlight w:val="none"/>
              </w:rPr>
              <w:t>4.滑板开（关）动作方式：嵌入式平移，运行时间：≤10秒；采水桶上（下）运行时间：≤15秒</w:t>
            </w:r>
            <w:r>
              <w:rPr>
                <w:rStyle w:val="67"/>
                <w:rFonts w:hint="eastAsia"/>
                <w:color w:val="auto"/>
                <w:highlight w:val="none"/>
                <w:lang w:eastAsia="zh-CN"/>
              </w:rPr>
              <w:t>；</w:t>
            </w:r>
            <w:r>
              <w:rPr>
                <w:rStyle w:val="67"/>
                <w:rFonts w:hint="default"/>
                <w:color w:val="auto"/>
                <w:highlight w:val="none"/>
              </w:rPr>
              <w:br w:type="textWrapping"/>
            </w:r>
            <w:r>
              <w:rPr>
                <w:rStyle w:val="67"/>
                <w:rFonts w:hint="default"/>
                <w:color w:val="auto"/>
                <w:highlight w:val="none"/>
              </w:rPr>
              <w:t>5.关门延时间可调：0～60分钟</w:t>
            </w:r>
            <w:r>
              <w:rPr>
                <w:rStyle w:val="67"/>
                <w:rFonts w:hint="eastAsia"/>
                <w:color w:val="auto"/>
                <w:highlight w:val="none"/>
                <w:lang w:eastAsia="zh-CN"/>
              </w:rPr>
              <w:t>；</w:t>
            </w:r>
            <w:r>
              <w:rPr>
                <w:rStyle w:val="67"/>
                <w:rFonts w:hint="default"/>
                <w:color w:val="auto"/>
                <w:highlight w:val="none"/>
              </w:rPr>
              <w:br w:type="textWrapping"/>
            </w:r>
            <w:r>
              <w:rPr>
                <w:rStyle w:val="67"/>
                <w:rFonts w:hint="default"/>
                <w:color w:val="auto"/>
                <w:highlight w:val="none"/>
              </w:rPr>
              <w:t>6.具有五种采样模式</w:t>
            </w:r>
            <w:r>
              <w:rPr>
                <w:rStyle w:val="67"/>
                <w:rFonts w:hint="default"/>
                <w:color w:val="auto"/>
                <w:highlight w:val="none"/>
              </w:rPr>
              <w:br w:type="textWrapping"/>
            </w:r>
            <w:r>
              <w:rPr>
                <w:rStyle w:val="67"/>
                <w:rFonts w:hint="default"/>
                <w:color w:val="auto"/>
                <w:highlight w:val="none"/>
              </w:rPr>
              <w:t>6.1 F0按天采样：根据下雨的自然日保存样品，一天采一个样品，最多可以保存连续12天的雨水；</w:t>
            </w:r>
            <w:r>
              <w:rPr>
                <w:rStyle w:val="67"/>
                <w:rFonts w:hint="default"/>
                <w:color w:val="auto"/>
                <w:highlight w:val="none"/>
              </w:rPr>
              <w:br w:type="textWrapping"/>
            </w:r>
            <w:r>
              <w:rPr>
                <w:rStyle w:val="67"/>
                <w:rFonts w:hint="default"/>
                <w:color w:val="auto"/>
                <w:highlight w:val="none"/>
              </w:rPr>
              <w:t>6.2 F1按场采样：根据下雨的场次保存样品，一场雨采一个样品，最多可以采集12场雨水的样品；</w:t>
            </w:r>
            <w:r>
              <w:rPr>
                <w:rStyle w:val="67"/>
                <w:rFonts w:hint="default"/>
                <w:color w:val="auto"/>
                <w:highlight w:val="none"/>
              </w:rPr>
              <w:br w:type="textWrapping"/>
            </w:r>
            <w:r>
              <w:rPr>
                <w:rStyle w:val="67"/>
                <w:rFonts w:hint="default"/>
                <w:color w:val="auto"/>
                <w:highlight w:val="none"/>
              </w:rPr>
              <w:t>6.3 F2按降雨量分段采样：根据设置的降雨量保存样品，当一场降水雨量达到分段雨量时，保存一个样品，一场雨最多可保存12段样品，分段雨量设置范围0.1-14mm；</w:t>
            </w:r>
            <w:r>
              <w:rPr>
                <w:rStyle w:val="67"/>
                <w:rFonts w:hint="default"/>
                <w:color w:val="auto"/>
                <w:highlight w:val="none"/>
              </w:rPr>
              <w:br w:type="textWrapping"/>
            </w:r>
            <w:r>
              <w:rPr>
                <w:rStyle w:val="67"/>
                <w:rFonts w:hint="default"/>
                <w:color w:val="auto"/>
                <w:highlight w:val="none"/>
              </w:rPr>
              <w:t>6.4 F3按整点时间分段采样：根据设置的分段时间将雨水分段（分段时间间隔1～4小时可设置），记录分段雨水的起止时间、降雨量、样品瓶号（如果某个降水时间分段内雨量为0，此段降水不记录）；</w:t>
            </w:r>
            <w:r>
              <w:rPr>
                <w:rStyle w:val="67"/>
                <w:rFonts w:hint="default"/>
                <w:color w:val="auto"/>
                <w:highlight w:val="none"/>
              </w:rPr>
              <w:br w:type="textWrapping"/>
            </w:r>
            <w:r>
              <w:rPr>
                <w:rStyle w:val="67"/>
                <w:rFonts w:hint="default"/>
                <w:color w:val="auto"/>
                <w:highlight w:val="none"/>
              </w:rPr>
              <w:t>6.5 F4混合采样模式：多天样品采入混合桶，采用桶容积：15L。</w:t>
            </w:r>
            <w:r>
              <w:rPr>
                <w:rStyle w:val="67"/>
                <w:rFonts w:hint="default"/>
                <w:color w:val="auto"/>
                <w:highlight w:val="none"/>
              </w:rPr>
              <w:br w:type="textWrapping"/>
            </w:r>
            <w:r>
              <w:rPr>
                <w:rStyle w:val="67"/>
                <w:rFonts w:hint="default"/>
                <w:color w:val="auto"/>
                <w:highlight w:val="none"/>
              </w:rPr>
              <w:t>7.翻斗式标准雨量计，精度：0.1mm；误差：降雨强度≤4mm/min时，±0.4mm；降雨强度＞4mm/min时，±4%。</w:t>
            </w:r>
            <w:r>
              <w:rPr>
                <w:rStyle w:val="67"/>
                <w:rFonts w:hint="default"/>
                <w:color w:val="auto"/>
                <w:highlight w:val="none"/>
              </w:rPr>
              <w:br w:type="textWrapping"/>
            </w:r>
            <w:r>
              <w:rPr>
                <w:rStyle w:val="67"/>
                <w:rFonts w:hint="default"/>
                <w:color w:val="auto"/>
                <w:highlight w:val="none"/>
              </w:rPr>
              <w:t>8.供电方式：交流AC220V±10%，50Hz。</w:t>
            </w:r>
            <w:r>
              <w:rPr>
                <w:rStyle w:val="67"/>
                <w:rFonts w:hint="default"/>
                <w:color w:val="auto"/>
                <w:highlight w:val="none"/>
              </w:rPr>
              <w:br w:type="textWrapping"/>
            </w:r>
            <w:r>
              <w:rPr>
                <w:rStyle w:val="67"/>
                <w:rFonts w:hint="default"/>
                <w:color w:val="auto"/>
                <w:highlight w:val="none"/>
              </w:rPr>
              <w:t>9.仪器功率：降水工作状态≤40W；无降水工作状态≤2W。</w:t>
            </w:r>
            <w:r>
              <w:rPr>
                <w:rStyle w:val="67"/>
                <w:rFonts w:hint="default"/>
                <w:color w:val="auto"/>
                <w:highlight w:val="none"/>
              </w:rPr>
              <w:br w:type="textWrapping"/>
            </w:r>
            <w:r>
              <w:rPr>
                <w:rStyle w:val="67"/>
                <w:rFonts w:hint="default"/>
                <w:color w:val="auto"/>
                <w:highlight w:val="none"/>
              </w:rPr>
              <w:t>10.材料：机壳不锈钢喷塑；集雨漏斗和收集容器：聚乙烯。</w:t>
            </w:r>
            <w:r>
              <w:rPr>
                <w:rStyle w:val="67"/>
                <w:rFonts w:hint="default"/>
                <w:color w:val="auto"/>
                <w:highlight w:val="none"/>
              </w:rPr>
              <w:br w:type="textWrapping"/>
            </w:r>
            <w:r>
              <w:rPr>
                <w:rStyle w:val="67"/>
                <w:rFonts w:hint="default"/>
                <w:color w:val="auto"/>
                <w:highlight w:val="none"/>
              </w:rPr>
              <w:t>11.采样瓶容量：1000ml/个，数量：12个；采样桶容量：15L/个，数量：1个。</w:t>
            </w:r>
            <w:r>
              <w:rPr>
                <w:rStyle w:val="67"/>
                <w:rFonts w:hint="default"/>
                <w:color w:val="auto"/>
                <w:highlight w:val="none"/>
              </w:rPr>
              <w:br w:type="textWrapping"/>
            </w:r>
            <w:r>
              <w:rPr>
                <w:rStyle w:val="67"/>
                <w:rFonts w:hint="default"/>
                <w:color w:val="auto"/>
                <w:highlight w:val="none"/>
              </w:rPr>
              <w:t>12.仪器满足中华人民共和国环境保护行业标准（HJ/T174-2005）《降雨自动采样器技术要求及检测方法》技术要求。</w:t>
            </w:r>
          </w:p>
        </w:tc>
        <w:tc>
          <w:tcPr>
            <w:tcW w:w="709" w:type="dxa"/>
            <w:noWrap w:val="0"/>
            <w:vAlign w:val="center"/>
          </w:tcPr>
          <w:p w14:paraId="22B9A0B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2</w:t>
            </w:r>
          </w:p>
        </w:tc>
        <w:tc>
          <w:tcPr>
            <w:tcW w:w="790" w:type="dxa"/>
            <w:noWrap w:val="0"/>
            <w:vAlign w:val="center"/>
          </w:tcPr>
          <w:p w14:paraId="153E6502">
            <w:pPr>
              <w:widowControl w:val="0"/>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台</w:t>
            </w:r>
          </w:p>
        </w:tc>
        <w:tc>
          <w:tcPr>
            <w:tcW w:w="894" w:type="dxa"/>
            <w:noWrap w:val="0"/>
            <w:vAlign w:val="top"/>
          </w:tcPr>
          <w:p w14:paraId="06C98C01">
            <w:pPr>
              <w:widowControl w:val="0"/>
              <w:jc w:val="center"/>
              <w:rPr>
                <w:color w:val="auto"/>
                <w:highlight w:val="none"/>
                <w:vertAlign w:val="baseline"/>
              </w:rPr>
            </w:pPr>
          </w:p>
        </w:tc>
      </w:tr>
      <w:tr w14:paraId="6AF0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098A069E">
            <w:pPr>
              <w:widowControl/>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kern w:val="0"/>
                <w:sz w:val="22"/>
                <w:szCs w:val="22"/>
                <w:highlight w:val="none"/>
              </w:rPr>
              <w:t>5</w:t>
            </w:r>
          </w:p>
        </w:tc>
        <w:tc>
          <w:tcPr>
            <w:tcW w:w="1342" w:type="dxa"/>
            <w:noWrap w:val="0"/>
            <w:vAlign w:val="center"/>
          </w:tcPr>
          <w:p w14:paraId="016D672F">
            <w:pPr>
              <w:keepNext w:val="0"/>
              <w:keepLines w:val="0"/>
              <w:pageBreakBefore w:val="0"/>
              <w:widowControl/>
              <w:suppressLineNumbers w:val="0"/>
              <w:kinsoku/>
              <w:wordWrap/>
              <w:overflowPunct/>
              <w:topLinePunct w:val="0"/>
              <w:autoSpaceDE/>
              <w:autoSpaceDN/>
              <w:bidi w:val="0"/>
              <w:adjustRightInd/>
              <w:snapToGrid/>
              <w:jc w:val="left"/>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土壤碳氧氨同位素分析仪</w:t>
            </w:r>
            <w:r>
              <w:rPr>
                <w:rFonts w:hint="eastAsia" w:ascii="宋体" w:hAnsi="宋体" w:eastAsia="宋体" w:cs="宋体"/>
                <w:i w:val="0"/>
                <w:iCs w:val="0"/>
                <w:color w:val="auto"/>
                <w:kern w:val="0"/>
                <w:sz w:val="20"/>
                <w:szCs w:val="20"/>
                <w:highlight w:val="none"/>
                <w:u w:val="none"/>
                <w:lang w:val="en-US" w:eastAsia="zh-CN" w:bidi="ar"/>
              </w:rPr>
              <w:t>（本产品已做进口产品论证，允许采购进口产品）</w:t>
            </w:r>
          </w:p>
        </w:tc>
        <w:tc>
          <w:tcPr>
            <w:tcW w:w="4836" w:type="dxa"/>
            <w:noWrap w:val="0"/>
            <w:vAlign w:val="top"/>
          </w:tcPr>
          <w:p w14:paraId="57B0B05A">
            <w:pPr>
              <w:keepNext w:val="0"/>
              <w:keepLines w:val="0"/>
              <w:widowControl/>
              <w:suppressLineNumbers w:val="0"/>
              <w:jc w:val="left"/>
              <w:rPr>
                <w:color w:val="auto"/>
                <w:highlight w:val="none"/>
              </w:rPr>
            </w:pPr>
            <w:r>
              <w:rPr>
                <w:rFonts w:hint="eastAsia" w:ascii="宋体" w:hAnsi="宋体" w:eastAsia="宋体" w:cs="宋体"/>
                <w:color w:val="auto"/>
                <w:kern w:val="0"/>
                <w:sz w:val="22"/>
                <w:szCs w:val="22"/>
                <w:highlight w:val="none"/>
              </w:rPr>
              <w:t>气体分析仪</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1.测量技术：光反馈-腔增强吸收光谱技术 (OF-CEAS)</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2.测量频率：1次/秒</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3.光腔体积: ＜7 cm</w:t>
            </w:r>
            <w:r>
              <w:rPr>
                <w:rFonts w:hint="eastAsia" w:ascii="宋体" w:hAnsi="宋体" w:eastAsia="宋体" w:cs="宋体"/>
                <w:color w:val="auto"/>
                <w:kern w:val="0"/>
                <w:sz w:val="22"/>
                <w:szCs w:val="22"/>
                <w:highlight w:val="none"/>
                <w:vertAlign w:val="superscript"/>
              </w:rPr>
              <w:t>3</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4.流速: 250 sccm（标准毫升每分钟）</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★5.操作温度:＞-20℃ </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 xml:space="preserve"> 45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6.连接方式: 以太网和 Wi-Fi，可远程无线连接，手机终端在线演示与控制，无需下载APP</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7.功耗: ＜25W</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8.CO</w:t>
            </w:r>
            <w:r>
              <w:rPr>
                <w:rFonts w:hint="eastAsia" w:ascii="宋体" w:hAnsi="宋体" w:eastAsia="宋体" w:cs="宋体"/>
                <w:color w:val="auto"/>
                <w:kern w:val="0"/>
                <w:sz w:val="22"/>
                <w:szCs w:val="22"/>
                <w:highlight w:val="none"/>
                <w:vertAlign w:val="subscript"/>
              </w:rPr>
              <w:t>2</w:t>
            </w:r>
            <w:r>
              <w:rPr>
                <w:rFonts w:hint="eastAsia" w:ascii="宋体" w:hAnsi="宋体" w:eastAsia="宋体" w:cs="宋体"/>
                <w:color w:val="auto"/>
                <w:kern w:val="0"/>
                <w:sz w:val="22"/>
                <w:szCs w:val="22"/>
                <w:highlight w:val="none"/>
              </w:rPr>
              <w:t>测量范围：50</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2000 ppm</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9.CO</w:t>
            </w:r>
            <w:r>
              <w:rPr>
                <w:rFonts w:hint="eastAsia" w:ascii="宋体" w:hAnsi="宋体" w:eastAsia="宋体" w:cs="宋体"/>
                <w:color w:val="auto"/>
                <w:kern w:val="0"/>
                <w:sz w:val="22"/>
                <w:szCs w:val="22"/>
                <w:highlight w:val="none"/>
                <w:vertAlign w:val="subscript"/>
              </w:rPr>
              <w:t>2</w:t>
            </w:r>
            <w:r>
              <w:rPr>
                <w:rFonts w:hint="eastAsia" w:ascii="宋体" w:hAnsi="宋体" w:eastAsia="宋体" w:cs="宋体"/>
                <w:color w:val="auto"/>
                <w:kern w:val="0"/>
                <w:sz w:val="22"/>
                <w:szCs w:val="22"/>
                <w:highlight w:val="none"/>
              </w:rPr>
              <w:t>精度(1σ)：5分钟信号平均为&lt;0.05 ppm@400 ppm</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10.CO</w:t>
            </w:r>
            <w:r>
              <w:rPr>
                <w:rFonts w:hint="eastAsia" w:ascii="宋体" w:hAnsi="宋体" w:eastAsia="宋体" w:cs="宋体"/>
                <w:color w:val="auto"/>
                <w:kern w:val="0"/>
                <w:sz w:val="22"/>
                <w:szCs w:val="22"/>
                <w:highlight w:val="none"/>
                <w:vertAlign w:val="subscript"/>
              </w:rPr>
              <w:t>2</w:t>
            </w:r>
            <w:r>
              <w:rPr>
                <w:rFonts w:hint="eastAsia" w:ascii="宋体" w:hAnsi="宋体" w:eastAsia="宋体" w:cs="宋体"/>
                <w:color w:val="auto"/>
                <w:kern w:val="0"/>
                <w:sz w:val="22"/>
                <w:szCs w:val="22"/>
                <w:highlight w:val="none"/>
              </w:rPr>
              <w:t>响应时间（T</w:t>
            </w:r>
            <w:r>
              <w:rPr>
                <w:rFonts w:hint="eastAsia" w:ascii="宋体" w:hAnsi="宋体" w:eastAsia="宋体" w:cs="宋体"/>
                <w:color w:val="auto"/>
                <w:kern w:val="0"/>
                <w:sz w:val="22"/>
                <w:szCs w:val="22"/>
                <w:highlight w:val="none"/>
                <w:vertAlign w:val="subscript"/>
              </w:rPr>
              <w:t>10</w:t>
            </w:r>
            <w:r>
              <w:rPr>
                <w:rFonts w:hint="eastAsia" w:ascii="宋体" w:hAnsi="宋体" w:eastAsia="宋体" w:cs="宋体"/>
                <w:color w:val="auto"/>
                <w:kern w:val="0"/>
                <w:sz w:val="22"/>
                <w:szCs w:val="22"/>
                <w:highlight w:val="none"/>
              </w:rPr>
              <w:t>-T</w:t>
            </w:r>
            <w:r>
              <w:rPr>
                <w:rFonts w:hint="eastAsia" w:ascii="宋体" w:hAnsi="宋体" w:eastAsia="宋体" w:cs="宋体"/>
                <w:color w:val="auto"/>
                <w:kern w:val="0"/>
                <w:sz w:val="22"/>
                <w:szCs w:val="22"/>
                <w:highlight w:val="none"/>
                <w:vertAlign w:val="subscript"/>
              </w:rPr>
              <w:t>90</w:t>
            </w:r>
            <w:r>
              <w:rPr>
                <w:rFonts w:hint="eastAsia" w:ascii="宋体" w:hAnsi="宋体" w:eastAsia="宋体" w:cs="宋体"/>
                <w:color w:val="auto"/>
                <w:kern w:val="0"/>
                <w:sz w:val="22"/>
                <w:szCs w:val="22"/>
                <w:highlight w:val="none"/>
              </w:rPr>
              <w:t>）：≤2 s，0</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400 ppm</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11.CO</w:t>
            </w:r>
            <w:r>
              <w:rPr>
                <w:rFonts w:hint="eastAsia" w:ascii="宋体" w:hAnsi="宋体" w:eastAsia="宋体" w:cs="宋体"/>
                <w:color w:val="auto"/>
                <w:kern w:val="0"/>
                <w:sz w:val="22"/>
                <w:szCs w:val="22"/>
                <w:highlight w:val="none"/>
                <w:vertAlign w:val="subscript"/>
              </w:rPr>
              <w:t>2</w:t>
            </w:r>
            <w:r>
              <w:rPr>
                <w:rFonts w:hint="eastAsia" w:ascii="宋体" w:hAnsi="宋体" w:eastAsia="宋体" w:cs="宋体"/>
                <w:color w:val="auto"/>
                <w:kern w:val="0"/>
                <w:sz w:val="22"/>
                <w:szCs w:val="22"/>
                <w:highlight w:val="none"/>
              </w:rPr>
              <w:t xml:space="preserve">最大漂移：每24小时 </w:t>
            </w: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rPr>
              <w:t>0.5 ppm</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★12.δC</w:t>
            </w:r>
            <w:r>
              <w:rPr>
                <w:rFonts w:hint="eastAsia" w:ascii="宋体" w:hAnsi="宋体" w:eastAsia="宋体" w:cs="宋体"/>
                <w:color w:val="auto"/>
                <w:kern w:val="0"/>
                <w:sz w:val="22"/>
                <w:szCs w:val="22"/>
                <w:highlight w:val="none"/>
                <w:vertAlign w:val="superscript"/>
              </w:rPr>
              <w:t>13</w:t>
            </w:r>
            <w:r>
              <w:rPr>
                <w:rFonts w:hint="eastAsia" w:ascii="宋体" w:hAnsi="宋体" w:eastAsia="宋体" w:cs="宋体"/>
                <w:color w:val="auto"/>
                <w:kern w:val="0"/>
                <w:sz w:val="22"/>
                <w:szCs w:val="22"/>
                <w:highlight w:val="none"/>
              </w:rPr>
              <w:t xml:space="preserve">测量精度(1σ)：1秒信号平均为&lt; </w:t>
            </w:r>
          </w:p>
          <w:p w14:paraId="656DCF57">
            <w:pPr>
              <w:keepNext w:val="0"/>
              <w:keepLines w:val="0"/>
              <w:widowControl/>
              <w:suppressLineNumbers w:val="0"/>
              <w:jc w:val="left"/>
              <w:rPr>
                <w:color w:val="auto"/>
                <w:highlight w:val="none"/>
              </w:rPr>
            </w:pPr>
            <w:r>
              <w:rPr>
                <w:rFonts w:hint="eastAsia" w:ascii="宋体" w:hAnsi="宋体" w:eastAsia="宋体" w:cs="宋体"/>
                <w:color w:val="auto"/>
                <w:kern w:val="0"/>
                <w:sz w:val="22"/>
                <w:szCs w:val="22"/>
                <w:highlight w:val="none"/>
              </w:rPr>
              <w:t>0.5 ‰；5分钟信号平均为&lt;0.04 ‰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13.δC</w:t>
            </w:r>
            <w:r>
              <w:rPr>
                <w:rFonts w:hint="eastAsia" w:ascii="宋体" w:hAnsi="宋体" w:eastAsia="宋体" w:cs="宋体"/>
                <w:color w:val="auto"/>
                <w:kern w:val="0"/>
                <w:sz w:val="22"/>
                <w:szCs w:val="22"/>
                <w:highlight w:val="none"/>
                <w:vertAlign w:val="superscript"/>
              </w:rPr>
              <w:t>13</w:t>
            </w:r>
            <w:r>
              <w:rPr>
                <w:rFonts w:hint="eastAsia" w:ascii="宋体" w:hAnsi="宋体" w:eastAsia="宋体" w:cs="宋体"/>
                <w:color w:val="auto"/>
                <w:kern w:val="0"/>
                <w:sz w:val="22"/>
                <w:szCs w:val="22"/>
                <w:highlight w:val="none"/>
              </w:rPr>
              <w:t>最大漂移：每24小时 &lt;1 ‰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★14.δO</w:t>
            </w:r>
            <w:r>
              <w:rPr>
                <w:rFonts w:hint="eastAsia" w:ascii="宋体" w:hAnsi="宋体" w:eastAsia="宋体" w:cs="宋体"/>
                <w:color w:val="auto"/>
                <w:kern w:val="0"/>
                <w:sz w:val="22"/>
                <w:szCs w:val="22"/>
                <w:highlight w:val="none"/>
                <w:vertAlign w:val="superscript"/>
              </w:rPr>
              <w:t>18</w:t>
            </w:r>
            <w:r>
              <w:rPr>
                <w:rFonts w:hint="eastAsia" w:ascii="宋体" w:hAnsi="宋体" w:eastAsia="宋体" w:cs="宋体"/>
                <w:color w:val="auto"/>
                <w:kern w:val="0"/>
                <w:sz w:val="22"/>
                <w:szCs w:val="22"/>
                <w:highlight w:val="none"/>
              </w:rPr>
              <w:t xml:space="preserve"> 测量精度(1σ)：5分钟信号平均为 &lt; 0.1 ‰@400 ppm</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15.δO</w:t>
            </w:r>
            <w:r>
              <w:rPr>
                <w:rFonts w:hint="eastAsia" w:ascii="宋体" w:hAnsi="宋体" w:eastAsia="宋体" w:cs="宋体"/>
                <w:color w:val="auto"/>
                <w:kern w:val="0"/>
                <w:sz w:val="22"/>
                <w:szCs w:val="22"/>
                <w:highlight w:val="none"/>
                <w:vertAlign w:val="superscript"/>
              </w:rPr>
              <w:t>18</w:t>
            </w:r>
            <w:r>
              <w:rPr>
                <w:rFonts w:hint="eastAsia" w:ascii="宋体" w:hAnsi="宋体" w:eastAsia="宋体" w:cs="宋体"/>
                <w:color w:val="auto"/>
                <w:kern w:val="0"/>
                <w:sz w:val="22"/>
                <w:szCs w:val="22"/>
                <w:highlight w:val="none"/>
              </w:rPr>
              <w:t xml:space="preserve"> 测量最大漂移：每24小时 &lt; 4 ‰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★16.δO</w:t>
            </w:r>
            <w:r>
              <w:rPr>
                <w:rFonts w:hint="eastAsia" w:ascii="宋体" w:hAnsi="宋体" w:eastAsia="宋体" w:cs="宋体"/>
                <w:color w:val="auto"/>
                <w:kern w:val="0"/>
                <w:sz w:val="22"/>
                <w:szCs w:val="22"/>
                <w:highlight w:val="none"/>
                <w:vertAlign w:val="superscript"/>
              </w:rPr>
              <w:t>17</w:t>
            </w:r>
            <w:r>
              <w:rPr>
                <w:rFonts w:hint="eastAsia" w:ascii="宋体" w:hAnsi="宋体" w:eastAsia="宋体" w:cs="宋体"/>
                <w:color w:val="auto"/>
                <w:kern w:val="0"/>
                <w:sz w:val="22"/>
                <w:szCs w:val="22"/>
                <w:highlight w:val="none"/>
              </w:rPr>
              <w:t xml:space="preserve"> 测量精度(1σ)：5分钟信号平均为 &lt; 0.4 ‰@400 ppm</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17.δO</w:t>
            </w:r>
            <w:r>
              <w:rPr>
                <w:rFonts w:hint="eastAsia" w:ascii="宋体" w:hAnsi="宋体" w:eastAsia="宋体" w:cs="宋体"/>
                <w:color w:val="auto"/>
                <w:kern w:val="0"/>
                <w:sz w:val="22"/>
                <w:szCs w:val="22"/>
                <w:highlight w:val="none"/>
                <w:vertAlign w:val="superscript"/>
              </w:rPr>
              <w:t>17</w:t>
            </w:r>
            <w:r>
              <w:rPr>
                <w:rFonts w:hint="eastAsia" w:ascii="宋体" w:hAnsi="宋体" w:eastAsia="宋体" w:cs="宋体"/>
                <w:color w:val="auto"/>
                <w:kern w:val="0"/>
                <w:sz w:val="22"/>
                <w:szCs w:val="22"/>
                <w:highlight w:val="none"/>
              </w:rPr>
              <w:t xml:space="preserve"> 测量最大漂移：每24小时 &lt; 12 ‰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18.NH</w:t>
            </w:r>
            <w:r>
              <w:rPr>
                <w:rFonts w:hint="eastAsia" w:ascii="宋体" w:hAnsi="宋体" w:eastAsia="宋体" w:cs="宋体"/>
                <w:color w:val="auto"/>
                <w:kern w:val="0"/>
                <w:sz w:val="22"/>
                <w:szCs w:val="22"/>
                <w:highlight w:val="none"/>
                <w:vertAlign w:val="subscript"/>
              </w:rPr>
              <w:t>3</w:t>
            </w:r>
            <w:r>
              <w:rPr>
                <w:rFonts w:hint="eastAsia" w:ascii="宋体" w:hAnsi="宋体" w:eastAsia="宋体" w:cs="宋体"/>
                <w:color w:val="auto"/>
                <w:kern w:val="0"/>
                <w:sz w:val="22"/>
                <w:szCs w:val="22"/>
                <w:highlight w:val="none"/>
              </w:rPr>
              <w:t xml:space="preserve"> 测量测量范围：0</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30,000 ppm</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★19.NH</w:t>
            </w:r>
            <w:r>
              <w:rPr>
                <w:rFonts w:hint="eastAsia" w:ascii="宋体" w:hAnsi="宋体" w:eastAsia="宋体" w:cs="宋体"/>
                <w:color w:val="auto"/>
                <w:kern w:val="0"/>
                <w:sz w:val="22"/>
                <w:szCs w:val="22"/>
                <w:highlight w:val="none"/>
                <w:vertAlign w:val="subscript"/>
              </w:rPr>
              <w:t>3</w:t>
            </w:r>
            <w:r>
              <w:rPr>
                <w:rFonts w:hint="eastAsia" w:ascii="宋体" w:hAnsi="宋体" w:eastAsia="宋体" w:cs="宋体"/>
                <w:color w:val="auto"/>
                <w:kern w:val="0"/>
                <w:sz w:val="22"/>
                <w:szCs w:val="22"/>
                <w:highlight w:val="none"/>
              </w:rPr>
              <w:t xml:space="preserve"> 测量精度(1σ)：1秒信号平均为</w:t>
            </w:r>
          </w:p>
          <w:p w14:paraId="406958EC">
            <w:pPr>
              <w:keepNext w:val="0"/>
              <w:keepLines w:val="0"/>
              <w:widowControl/>
              <w:suppressLineNumbers w:val="0"/>
              <w:jc w:val="left"/>
              <w:rPr>
                <w:color w:val="auto"/>
                <w:highlight w:val="none"/>
              </w:rPr>
            </w:pPr>
            <w:r>
              <w:rPr>
                <w:rFonts w:hint="eastAsia" w:ascii="宋体" w:hAnsi="宋体" w:eastAsia="宋体" w:cs="宋体"/>
                <w:color w:val="auto"/>
                <w:kern w:val="0"/>
                <w:sz w:val="22"/>
                <w:szCs w:val="22"/>
                <w:highlight w:val="none"/>
              </w:rPr>
              <w:t>2 ppb @ 300 ppb</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20.响应时间（T</w:t>
            </w:r>
            <w:r>
              <w:rPr>
                <w:rFonts w:hint="eastAsia" w:ascii="宋体" w:hAnsi="宋体" w:eastAsia="宋体" w:cs="宋体"/>
                <w:color w:val="auto"/>
                <w:kern w:val="0"/>
                <w:sz w:val="22"/>
                <w:szCs w:val="22"/>
                <w:highlight w:val="none"/>
                <w:vertAlign w:val="subscript"/>
              </w:rPr>
              <w:t>10</w:t>
            </w:r>
            <w:r>
              <w:rPr>
                <w:rFonts w:hint="eastAsia" w:ascii="宋体" w:hAnsi="宋体" w:eastAsia="宋体" w:cs="宋体"/>
                <w:color w:val="auto"/>
                <w:kern w:val="0"/>
                <w:sz w:val="22"/>
                <w:szCs w:val="22"/>
                <w:highlight w:val="none"/>
              </w:rPr>
              <w:t>-T</w:t>
            </w:r>
            <w:r>
              <w:rPr>
                <w:rFonts w:hint="eastAsia" w:ascii="宋体" w:hAnsi="宋体" w:eastAsia="宋体" w:cs="宋体"/>
                <w:color w:val="auto"/>
                <w:kern w:val="0"/>
                <w:sz w:val="22"/>
                <w:szCs w:val="22"/>
                <w:highlight w:val="none"/>
                <w:vertAlign w:val="subscript"/>
              </w:rPr>
              <w:t>90</w:t>
            </w: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rPr>
              <w:t>5 min</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21.H</w:t>
            </w:r>
            <w:r>
              <w:rPr>
                <w:rFonts w:hint="eastAsia" w:ascii="宋体" w:hAnsi="宋体" w:eastAsia="宋体" w:cs="宋体"/>
                <w:color w:val="auto"/>
                <w:kern w:val="0"/>
                <w:sz w:val="22"/>
                <w:szCs w:val="22"/>
                <w:highlight w:val="none"/>
                <w:vertAlign w:val="subscript"/>
              </w:rPr>
              <w:t>2</w:t>
            </w:r>
            <w:r>
              <w:rPr>
                <w:rFonts w:hint="eastAsia" w:ascii="宋体" w:hAnsi="宋体" w:eastAsia="宋体" w:cs="宋体"/>
                <w:color w:val="auto"/>
                <w:kern w:val="0"/>
                <w:sz w:val="22"/>
                <w:szCs w:val="22"/>
                <w:highlight w:val="none"/>
              </w:rPr>
              <w:t>O测量测量范围：0</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60,000 ppm</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22.H</w:t>
            </w:r>
            <w:r>
              <w:rPr>
                <w:rFonts w:hint="eastAsia" w:ascii="宋体" w:hAnsi="宋体" w:eastAsia="宋体" w:cs="宋体"/>
                <w:color w:val="auto"/>
                <w:kern w:val="0"/>
                <w:sz w:val="22"/>
                <w:szCs w:val="22"/>
                <w:highlight w:val="none"/>
                <w:vertAlign w:val="subscript"/>
              </w:rPr>
              <w:t>2</w:t>
            </w:r>
            <w:r>
              <w:rPr>
                <w:rFonts w:hint="eastAsia" w:ascii="宋体" w:hAnsi="宋体" w:eastAsia="宋体" w:cs="宋体"/>
                <w:color w:val="auto"/>
                <w:kern w:val="0"/>
                <w:sz w:val="22"/>
                <w:szCs w:val="22"/>
                <w:highlight w:val="none"/>
              </w:rPr>
              <w:t>O测量精度(1σ)：1秒信号平均为45 ppm @ 10,000 ppm；5秒信号平均为20 ppm @ 10,000 ppm</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配置：</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1.主机分析仪：1套</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2.充电电池：2块</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3.充电器：1套</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4.管路配件：1套</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5.说明书：1套</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bidi="ar"/>
              </w:rPr>
              <w:t xml:space="preserve">号条款为加分项，投标需提供合法来源渠道证 </w:t>
            </w:r>
          </w:p>
          <w:p w14:paraId="3E710508">
            <w:pPr>
              <w:keepNext w:val="0"/>
              <w:keepLines w:val="0"/>
              <w:widowControl/>
              <w:suppressLineNumbers w:val="0"/>
              <w:jc w:val="left"/>
              <w:rPr>
                <w:color w:val="auto"/>
                <w:highlight w:val="none"/>
              </w:rPr>
            </w:pPr>
            <w:r>
              <w:rPr>
                <w:rFonts w:hint="eastAsia" w:ascii="宋体" w:hAnsi="宋体" w:eastAsia="宋体" w:cs="宋体"/>
                <w:color w:val="auto"/>
                <w:kern w:val="0"/>
                <w:sz w:val="22"/>
                <w:szCs w:val="22"/>
                <w:highlight w:val="none"/>
                <w:lang w:val="en-US" w:eastAsia="zh-CN" w:bidi="ar"/>
              </w:rPr>
              <w:t>明文件</w:t>
            </w:r>
          </w:p>
          <w:p w14:paraId="0B644473">
            <w:pPr>
              <w:widowControl/>
              <w:jc w:val="left"/>
              <w:textAlignment w:val="auto"/>
              <w:rPr>
                <w:rFonts w:hint="eastAsia" w:ascii="宋体" w:hAnsi="宋体" w:eastAsia="宋体" w:cs="宋体"/>
                <w:i w:val="0"/>
                <w:iCs w:val="0"/>
                <w:color w:val="auto"/>
                <w:kern w:val="0"/>
                <w:sz w:val="22"/>
                <w:szCs w:val="22"/>
                <w:highlight w:val="none"/>
                <w:u w:val="none"/>
                <w:lang w:val="en-US" w:eastAsia="zh-CN" w:bidi="ar"/>
              </w:rPr>
            </w:pPr>
          </w:p>
        </w:tc>
        <w:tc>
          <w:tcPr>
            <w:tcW w:w="709" w:type="dxa"/>
            <w:noWrap w:val="0"/>
            <w:vAlign w:val="center"/>
          </w:tcPr>
          <w:p w14:paraId="330DDA9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w:t>
            </w:r>
          </w:p>
        </w:tc>
        <w:tc>
          <w:tcPr>
            <w:tcW w:w="790" w:type="dxa"/>
            <w:noWrap w:val="0"/>
            <w:vAlign w:val="center"/>
          </w:tcPr>
          <w:p w14:paraId="5BC29366">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台</w:t>
            </w:r>
          </w:p>
        </w:tc>
        <w:tc>
          <w:tcPr>
            <w:tcW w:w="894" w:type="dxa"/>
            <w:noWrap w:val="0"/>
            <w:vAlign w:val="top"/>
          </w:tcPr>
          <w:p w14:paraId="77A7B709">
            <w:pPr>
              <w:widowControl w:val="0"/>
              <w:jc w:val="center"/>
              <w:rPr>
                <w:color w:val="auto"/>
                <w:highlight w:val="none"/>
                <w:vertAlign w:val="baseline"/>
              </w:rPr>
            </w:pPr>
          </w:p>
        </w:tc>
      </w:tr>
      <w:tr w14:paraId="11CE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2FF575F8">
            <w:pPr>
              <w:widowControl/>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kern w:val="0"/>
                <w:sz w:val="22"/>
                <w:szCs w:val="22"/>
                <w:highlight w:val="none"/>
              </w:rPr>
              <w:t>6</w:t>
            </w:r>
          </w:p>
        </w:tc>
        <w:tc>
          <w:tcPr>
            <w:tcW w:w="1342" w:type="dxa"/>
            <w:noWrap w:val="0"/>
            <w:vAlign w:val="center"/>
          </w:tcPr>
          <w:p w14:paraId="5FF6704A">
            <w:pPr>
              <w:keepNext w:val="0"/>
              <w:keepLines w:val="0"/>
              <w:pageBreakBefore w:val="0"/>
              <w:widowControl/>
              <w:suppressLineNumbers w:val="0"/>
              <w:kinsoku/>
              <w:wordWrap/>
              <w:overflowPunct/>
              <w:topLinePunct w:val="0"/>
              <w:autoSpaceDE/>
              <w:autoSpaceDN/>
              <w:bidi w:val="0"/>
              <w:adjustRightInd/>
              <w:snapToGrid/>
              <w:jc w:val="left"/>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原位土壤入渗仪</w:t>
            </w:r>
          </w:p>
        </w:tc>
        <w:tc>
          <w:tcPr>
            <w:tcW w:w="4836" w:type="dxa"/>
            <w:shd w:val="clear" w:color="auto" w:fill="auto"/>
            <w:noWrap w:val="0"/>
            <w:vAlign w:val="top"/>
          </w:tcPr>
          <w:p w14:paraId="44369344">
            <w:pPr>
              <w:widowControl/>
              <w:jc w:val="left"/>
              <w:textAlignment w:val="top"/>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kern w:val="0"/>
                <w:sz w:val="22"/>
                <w:szCs w:val="22"/>
                <w:highlight w:val="none"/>
              </w:rPr>
              <w:t>土钻直径：≥6.0cm</w:t>
            </w:r>
            <w:r>
              <w:rPr>
                <w:rFonts w:hint="eastAsia" w:ascii="宋体" w:hAnsi="宋体" w:eastAsia="宋体" w:cs="宋体"/>
                <w:color w:val="auto"/>
                <w:kern w:val="0"/>
                <w:sz w:val="22"/>
                <w:szCs w:val="22"/>
                <w:highlight w:val="none"/>
              </w:rPr>
              <w:br w:type="textWrapping"/>
            </w:r>
            <w:r>
              <w:rPr>
                <w:rFonts w:hint="eastAsia" w:ascii="宋体" w:hAnsi="宋体" w:eastAsia="宋体" w:cs="宋体"/>
                <w:strike w:val="0"/>
                <w:color w:val="auto"/>
                <w:kern w:val="0"/>
                <w:sz w:val="22"/>
                <w:szCs w:val="22"/>
                <w:highlight w:val="none"/>
              </w:rPr>
              <w:t>饱和导水率的测量范围：10-2</w:t>
            </w:r>
            <w:r>
              <w:rPr>
                <w:rFonts w:hint="eastAsia" w:ascii="宋体" w:hAnsi="宋体" w:cs="宋体"/>
                <w:strike w:val="0"/>
                <w:color w:val="auto"/>
                <w:kern w:val="0"/>
                <w:sz w:val="22"/>
                <w:szCs w:val="22"/>
                <w:highlight w:val="none"/>
                <w:lang w:eastAsia="zh-CN"/>
              </w:rPr>
              <w:t>～</w:t>
            </w:r>
            <w:r>
              <w:rPr>
                <w:rFonts w:hint="eastAsia" w:ascii="宋体" w:hAnsi="宋体" w:eastAsia="宋体" w:cs="宋体"/>
                <w:strike w:val="0"/>
                <w:color w:val="auto"/>
                <w:kern w:val="0"/>
                <w:sz w:val="22"/>
                <w:szCs w:val="22"/>
                <w:highlight w:val="none"/>
              </w:rPr>
              <w:t>10-5cm/sec</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仪器箱外形：≤120×45×14 </w:t>
            </w:r>
            <w:r>
              <w:rPr>
                <w:rFonts w:hint="eastAsia" w:ascii="宋体" w:hAnsi="宋体" w:cs="宋体"/>
                <w:color w:val="auto"/>
                <w:kern w:val="0"/>
                <w:sz w:val="22"/>
                <w:szCs w:val="22"/>
                <w:highlight w:val="none"/>
                <w:lang w:val="en-US" w:eastAsia="zh-CN"/>
              </w:rPr>
              <w:t>cm</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测量深度：标准15到50 cm</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蓄水管横截面积：≤78.5cm</w:t>
            </w:r>
            <w:r>
              <w:rPr>
                <w:rFonts w:hint="eastAsia" w:ascii="宋体" w:hAnsi="宋体" w:eastAsia="宋体" w:cs="宋体"/>
                <w:color w:val="auto"/>
                <w:kern w:val="0"/>
                <w:sz w:val="22"/>
                <w:szCs w:val="22"/>
                <w:highlight w:val="none"/>
                <w:vertAlign w:val="superscript"/>
              </w:rPr>
              <w:t>2</w:t>
            </w:r>
            <w:r>
              <w:rPr>
                <w:rFonts w:hint="eastAsia" w:ascii="宋体" w:hAnsi="宋体" w:eastAsia="宋体" w:cs="宋体"/>
                <w:color w:val="auto"/>
                <w:kern w:val="0"/>
                <w:sz w:val="22"/>
                <w:szCs w:val="22"/>
                <w:highlight w:val="none"/>
              </w:rPr>
              <w:t>（外），≤12.56cm</w:t>
            </w:r>
            <w:r>
              <w:rPr>
                <w:rFonts w:hint="eastAsia" w:ascii="宋体" w:hAnsi="宋体" w:eastAsia="宋体" w:cs="宋体"/>
                <w:color w:val="auto"/>
                <w:kern w:val="0"/>
                <w:sz w:val="22"/>
                <w:szCs w:val="22"/>
                <w:highlight w:val="none"/>
                <w:vertAlign w:val="superscript"/>
              </w:rPr>
              <w:t>2</w:t>
            </w:r>
            <w:r>
              <w:rPr>
                <w:rFonts w:hint="eastAsia" w:ascii="宋体" w:hAnsi="宋体" w:eastAsia="宋体" w:cs="宋体"/>
                <w:color w:val="auto"/>
                <w:kern w:val="0"/>
                <w:sz w:val="22"/>
                <w:szCs w:val="22"/>
                <w:highlight w:val="none"/>
              </w:rPr>
              <w:t>（内）</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主机显示：LED液晶显示</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主机储存：SD卡4G</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配置：渗透计，田间三脚架，合适的土钻，标准地墩尺和清洁工具和自动记录仪</w:t>
            </w:r>
          </w:p>
        </w:tc>
        <w:tc>
          <w:tcPr>
            <w:tcW w:w="709" w:type="dxa"/>
            <w:noWrap w:val="0"/>
            <w:vAlign w:val="center"/>
          </w:tcPr>
          <w:p w14:paraId="7256E0A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w:t>
            </w:r>
          </w:p>
        </w:tc>
        <w:tc>
          <w:tcPr>
            <w:tcW w:w="790" w:type="dxa"/>
            <w:noWrap w:val="0"/>
            <w:vAlign w:val="center"/>
          </w:tcPr>
          <w:p w14:paraId="50FCAFCF">
            <w:pPr>
              <w:widowControl w:val="0"/>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台</w:t>
            </w:r>
          </w:p>
        </w:tc>
        <w:tc>
          <w:tcPr>
            <w:tcW w:w="894" w:type="dxa"/>
            <w:noWrap w:val="0"/>
            <w:vAlign w:val="top"/>
          </w:tcPr>
          <w:p w14:paraId="10FC176D">
            <w:pPr>
              <w:widowControl w:val="0"/>
              <w:jc w:val="center"/>
              <w:rPr>
                <w:color w:val="auto"/>
                <w:highlight w:val="none"/>
                <w:vertAlign w:val="baseline"/>
              </w:rPr>
            </w:pPr>
          </w:p>
        </w:tc>
      </w:tr>
      <w:tr w14:paraId="078B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0FEB1098">
            <w:pPr>
              <w:widowControl/>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kern w:val="0"/>
                <w:sz w:val="22"/>
                <w:szCs w:val="22"/>
                <w:highlight w:val="none"/>
              </w:rPr>
              <w:t>7</w:t>
            </w:r>
          </w:p>
        </w:tc>
        <w:tc>
          <w:tcPr>
            <w:tcW w:w="1342" w:type="dxa"/>
            <w:noWrap w:val="0"/>
            <w:vAlign w:val="center"/>
          </w:tcPr>
          <w:p w14:paraId="56EEDE85">
            <w:pPr>
              <w:keepNext w:val="0"/>
              <w:keepLines w:val="0"/>
              <w:pageBreakBefore w:val="0"/>
              <w:widowControl/>
              <w:suppressLineNumbers w:val="0"/>
              <w:kinsoku/>
              <w:wordWrap/>
              <w:overflowPunct/>
              <w:topLinePunct w:val="0"/>
              <w:autoSpaceDE/>
              <w:autoSpaceDN/>
              <w:bidi w:val="0"/>
              <w:adjustRightInd/>
              <w:snapToGrid/>
              <w:jc w:val="left"/>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土壤碳水分析仪（实验室土壤矿化培养试验）</w:t>
            </w:r>
            <w:r>
              <w:rPr>
                <w:rFonts w:hint="eastAsia" w:ascii="宋体" w:hAnsi="宋体" w:eastAsia="宋体" w:cs="宋体"/>
                <w:i w:val="0"/>
                <w:iCs w:val="0"/>
                <w:color w:val="auto"/>
                <w:kern w:val="0"/>
                <w:sz w:val="20"/>
                <w:szCs w:val="20"/>
                <w:highlight w:val="none"/>
                <w:u w:val="none"/>
                <w:lang w:val="en-US" w:eastAsia="zh-CN" w:bidi="ar"/>
              </w:rPr>
              <w:t>（本产品已做进口产品论证，允许采购进口产品）</w:t>
            </w:r>
          </w:p>
        </w:tc>
        <w:tc>
          <w:tcPr>
            <w:tcW w:w="4836" w:type="dxa"/>
            <w:noWrap w:val="0"/>
            <w:vAlign w:val="top"/>
          </w:tcPr>
          <w:p w14:paraId="545BC1D8">
            <w:pPr>
              <w:keepNext w:val="0"/>
              <w:keepLines w:val="0"/>
              <w:widowControl/>
              <w:suppressLineNumbers w:val="0"/>
              <w:jc w:val="left"/>
              <w:rPr>
                <w:color w:val="auto"/>
                <w:highlight w:val="none"/>
              </w:rPr>
            </w:pPr>
            <w:r>
              <w:rPr>
                <w:rFonts w:hint="eastAsia" w:ascii="宋体" w:hAnsi="宋体" w:eastAsia="宋体" w:cs="宋体"/>
                <w:color w:val="auto"/>
                <w:kern w:val="0"/>
                <w:sz w:val="22"/>
                <w:szCs w:val="22"/>
                <w:highlight w:val="none"/>
              </w:rPr>
              <w:t>1．测量原理：非色散红外分析</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2．标准：CO</w:t>
            </w:r>
            <w:r>
              <w:rPr>
                <w:rFonts w:hint="eastAsia" w:ascii="宋体" w:hAnsi="宋体" w:eastAsia="宋体" w:cs="宋体"/>
                <w:color w:val="auto"/>
                <w:kern w:val="0"/>
                <w:sz w:val="22"/>
                <w:szCs w:val="22"/>
                <w:highlight w:val="none"/>
                <w:vertAlign w:val="subscript"/>
              </w:rPr>
              <w:t>2</w:t>
            </w:r>
            <w:r>
              <w:rPr>
                <w:rFonts w:hint="eastAsia" w:ascii="宋体" w:hAnsi="宋体" w:eastAsia="宋体" w:cs="宋体"/>
                <w:color w:val="auto"/>
                <w:kern w:val="0"/>
                <w:sz w:val="22"/>
                <w:szCs w:val="22"/>
                <w:highlight w:val="none"/>
              </w:rPr>
              <w:t>：0-3000 μmol/mol使用WMO标准可追溯气体校准，3000-20000 μmol/mol使用EPA协议标准可追溯气体校准</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★3．自动压力补偿范围：50 kPa-110kPa</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4. 操作温度范围：-20 </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 xml:space="preserve"> 45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5. 相对湿度范围：0-95% RH,非冷凝</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★6. 仪器内置气泵：典型流速：≤0.5 L/min，功率：≤0.75 W</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CO</w:t>
            </w:r>
            <w:r>
              <w:rPr>
                <w:rFonts w:hint="eastAsia" w:ascii="宋体" w:hAnsi="宋体" w:eastAsia="宋体" w:cs="宋体"/>
                <w:color w:val="auto"/>
                <w:kern w:val="0"/>
                <w:sz w:val="22"/>
                <w:szCs w:val="22"/>
                <w:highlight w:val="none"/>
                <w:vertAlign w:val="subscript"/>
              </w:rPr>
              <w:t>2</w:t>
            </w:r>
            <w:r>
              <w:rPr>
                <w:rFonts w:hint="eastAsia" w:ascii="宋体" w:hAnsi="宋体" w:eastAsia="宋体" w:cs="宋体"/>
                <w:color w:val="auto"/>
                <w:kern w:val="0"/>
                <w:sz w:val="22"/>
                <w:szCs w:val="22"/>
                <w:highlight w:val="none"/>
              </w:rPr>
              <w:t>分析器指标</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1．测量量程: 0-20000μmol mol</w:t>
            </w:r>
            <w:r>
              <w:rPr>
                <w:rFonts w:hint="eastAsia" w:ascii="宋体" w:hAnsi="宋体" w:eastAsia="宋体" w:cs="宋体"/>
                <w:color w:val="auto"/>
                <w:kern w:val="0"/>
                <w:sz w:val="22"/>
                <w:szCs w:val="22"/>
                <w:highlight w:val="none"/>
                <w:vertAlign w:val="superscript"/>
              </w:rPr>
              <w:t>-1</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2．准确度: 优于读数的1.5%</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★3．校准漂移（</w:t>
            </w:r>
            <w:r>
              <w:rPr>
                <w:rFonts w:hint="eastAsia" w:ascii="宋体" w:hAnsi="宋体" w:eastAsia="宋体" w:cs="宋体"/>
                <w:color w:val="auto"/>
                <w:kern w:val="0"/>
                <w:sz w:val="22"/>
                <w:szCs w:val="22"/>
                <w:highlight w:val="none"/>
              </w:rPr>
              <w:t>°C</w:t>
            </w:r>
            <w:r>
              <w:rPr>
                <w:rFonts w:hint="eastAsia" w:ascii="宋体" w:hAnsi="宋体" w:eastAsia="宋体" w:cs="宋体"/>
                <w:color w:val="auto"/>
                <w:kern w:val="0"/>
                <w:sz w:val="22"/>
                <w:szCs w:val="22"/>
                <w:highlight w:val="none"/>
                <w:vertAlign w:val="superscript"/>
              </w:rPr>
              <w:t>-1</w:t>
            </w:r>
            <w:r>
              <w:rPr>
                <w:rFonts w:hint="eastAsia" w:ascii="宋体" w:hAnsi="宋体" w:eastAsia="宋体" w:cs="宋体"/>
                <w:color w:val="auto"/>
                <w:kern w:val="0"/>
                <w:sz w:val="22"/>
                <w:szCs w:val="22"/>
                <w:highlight w:val="none"/>
              </w:rPr>
              <w:t>）：零点漂移:</w:t>
            </w:r>
            <w:r>
              <w:rPr>
                <w:rFonts w:hint="eastAsia" w:ascii="宋体" w:hAnsi="宋体" w:cs="宋体"/>
                <w:color w:val="auto"/>
                <w:kern w:val="0"/>
                <w:sz w:val="22"/>
                <w:szCs w:val="22"/>
                <w:highlight w:val="none"/>
                <w:lang w:val="en-US" w:eastAsia="zh-CN" w:bidi="ar"/>
              </w:rPr>
              <w:t>&lt;</w:t>
            </w:r>
            <w:r>
              <w:rPr>
                <w:rFonts w:hint="eastAsia" w:ascii="宋体" w:hAnsi="宋体" w:eastAsia="宋体" w:cs="宋体"/>
                <w:color w:val="auto"/>
                <w:kern w:val="0"/>
                <w:sz w:val="22"/>
                <w:szCs w:val="22"/>
                <w:highlight w:val="none"/>
              </w:rPr>
              <w:t>0.15μmol mol</w:t>
            </w:r>
            <w:r>
              <w:rPr>
                <w:rFonts w:hint="eastAsia" w:ascii="宋体" w:hAnsi="宋体" w:eastAsia="宋体" w:cs="宋体"/>
                <w:color w:val="auto"/>
                <w:kern w:val="0"/>
                <w:sz w:val="22"/>
                <w:szCs w:val="22"/>
                <w:highlight w:val="none"/>
                <w:vertAlign w:val="superscript"/>
              </w:rPr>
              <w:t>-1</w:t>
            </w:r>
            <w:r>
              <w:rPr>
                <w:rFonts w:hint="eastAsia" w:ascii="宋体" w:hAnsi="宋体" w:eastAsia="宋体" w:cs="宋体"/>
                <w:color w:val="auto"/>
                <w:kern w:val="0"/>
                <w:sz w:val="22"/>
                <w:szCs w:val="22"/>
                <w:highlight w:val="none"/>
              </w:rPr>
              <w:t xml:space="preserve">；跨度漂移: </w:t>
            </w:r>
            <w:r>
              <w:rPr>
                <w:rFonts w:hint="eastAsia" w:ascii="宋体" w:hAnsi="宋体" w:cs="宋体"/>
                <w:color w:val="auto"/>
                <w:kern w:val="0"/>
                <w:sz w:val="22"/>
                <w:szCs w:val="22"/>
                <w:highlight w:val="none"/>
                <w:lang w:val="en-US" w:eastAsia="zh-CN" w:bidi="ar"/>
              </w:rPr>
              <w:t>&lt;</w:t>
            </w:r>
            <w:r>
              <w:rPr>
                <w:rFonts w:hint="eastAsia" w:ascii="宋体" w:hAnsi="宋体" w:eastAsia="宋体" w:cs="宋体"/>
                <w:color w:val="auto"/>
                <w:kern w:val="0"/>
                <w:sz w:val="22"/>
                <w:szCs w:val="22"/>
                <w:highlight w:val="none"/>
              </w:rPr>
              <w:t xml:space="preserve"> 0.03 %；总漂移: </w:t>
            </w:r>
            <w:r>
              <w:rPr>
                <w:rFonts w:hint="eastAsia" w:ascii="宋体" w:hAnsi="宋体" w:cs="宋体"/>
                <w:color w:val="auto"/>
                <w:kern w:val="0"/>
                <w:sz w:val="22"/>
                <w:szCs w:val="22"/>
                <w:highlight w:val="none"/>
                <w:lang w:val="en-US" w:eastAsia="zh-CN" w:bidi="ar"/>
              </w:rPr>
              <w:t>&lt;</w:t>
            </w:r>
            <w:r>
              <w:rPr>
                <w:rFonts w:hint="eastAsia" w:ascii="宋体" w:hAnsi="宋体" w:eastAsia="宋体" w:cs="宋体"/>
                <w:color w:val="auto"/>
                <w:kern w:val="0"/>
                <w:sz w:val="22"/>
                <w:szCs w:val="22"/>
                <w:highlight w:val="none"/>
              </w:rPr>
              <w:t>0.4μmol mol</w:t>
            </w:r>
            <w:r>
              <w:rPr>
                <w:rFonts w:hint="eastAsia" w:ascii="宋体" w:hAnsi="宋体" w:eastAsia="宋体" w:cs="宋体"/>
                <w:color w:val="auto"/>
                <w:kern w:val="0"/>
                <w:sz w:val="22"/>
                <w:szCs w:val="22"/>
                <w:highlight w:val="none"/>
                <w:vertAlign w:val="superscript"/>
              </w:rPr>
              <w:t>-1</w:t>
            </w:r>
            <w:r>
              <w:rPr>
                <w:rFonts w:hint="eastAsia" w:ascii="宋体" w:hAnsi="宋体" w:eastAsia="宋体" w:cs="宋体"/>
                <w:color w:val="auto"/>
                <w:kern w:val="0"/>
                <w:sz w:val="22"/>
                <w:szCs w:val="22"/>
                <w:highlight w:val="none"/>
              </w:rPr>
              <w:t>@370μmol mol</w:t>
            </w:r>
            <w:r>
              <w:rPr>
                <w:rFonts w:hint="eastAsia" w:ascii="宋体" w:hAnsi="宋体" w:eastAsia="宋体" w:cs="宋体"/>
                <w:color w:val="auto"/>
                <w:kern w:val="0"/>
                <w:sz w:val="22"/>
                <w:szCs w:val="22"/>
                <w:highlight w:val="none"/>
                <w:vertAlign w:val="superscript"/>
              </w:rPr>
              <w:t>-1</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4．RSM噪声：370ppm时1秒信号滤除&lt;1 ppm</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★5．对H</w:t>
            </w:r>
            <w:r>
              <w:rPr>
                <w:rFonts w:hint="eastAsia" w:ascii="宋体" w:hAnsi="宋体" w:eastAsia="宋体" w:cs="宋体"/>
                <w:color w:val="auto"/>
                <w:kern w:val="0"/>
                <w:sz w:val="22"/>
                <w:szCs w:val="22"/>
                <w:highlight w:val="none"/>
                <w:vertAlign w:val="subscript"/>
              </w:rPr>
              <w:t>2</w:t>
            </w:r>
            <w:r>
              <w:rPr>
                <w:rFonts w:hint="eastAsia" w:ascii="宋体" w:hAnsi="宋体" w:eastAsia="宋体" w:cs="宋体"/>
                <w:color w:val="auto"/>
                <w:kern w:val="0"/>
                <w:sz w:val="22"/>
                <w:szCs w:val="22"/>
                <w:highlight w:val="none"/>
              </w:rPr>
              <w:t>O的灵敏度</w:t>
            </w:r>
            <w:r>
              <w:rPr>
                <w:rFonts w:hint="eastAsia" w:ascii="宋体" w:hAnsi="宋体" w:cs="宋体"/>
                <w:color w:val="auto"/>
                <w:kern w:val="0"/>
                <w:sz w:val="22"/>
                <w:szCs w:val="22"/>
                <w:highlight w:val="none"/>
                <w:lang w:val="en-US" w:eastAsia="zh-CN" w:bidi="ar"/>
              </w:rPr>
              <w:t>&lt;</w:t>
            </w:r>
            <w:r>
              <w:rPr>
                <w:rFonts w:hint="eastAsia" w:ascii="宋体" w:hAnsi="宋体" w:eastAsia="宋体" w:cs="宋体"/>
                <w:color w:val="auto"/>
                <w:kern w:val="0"/>
                <w:sz w:val="22"/>
                <w:szCs w:val="22"/>
                <w:highlight w:val="none"/>
              </w:rPr>
              <w:t>0.1μmol mol</w:t>
            </w:r>
            <w:r>
              <w:rPr>
                <w:rFonts w:hint="eastAsia" w:ascii="宋体" w:hAnsi="宋体" w:eastAsia="宋体" w:cs="宋体"/>
                <w:color w:val="auto"/>
                <w:kern w:val="0"/>
                <w:sz w:val="22"/>
                <w:szCs w:val="22"/>
                <w:highlight w:val="none"/>
                <w:vertAlign w:val="superscript"/>
              </w:rPr>
              <w:t>-1</w:t>
            </w:r>
            <w:r>
              <w:rPr>
                <w:rFonts w:hint="eastAsia" w:ascii="宋体" w:hAnsi="宋体" w:eastAsia="宋体" w:cs="宋体"/>
                <w:color w:val="auto"/>
                <w:kern w:val="0"/>
                <w:sz w:val="22"/>
                <w:szCs w:val="22"/>
                <w:highlight w:val="none"/>
              </w:rPr>
              <w:t>CO</w:t>
            </w:r>
            <w:r>
              <w:rPr>
                <w:rFonts w:hint="eastAsia" w:ascii="宋体" w:hAnsi="宋体" w:eastAsia="宋体" w:cs="宋体"/>
                <w:color w:val="auto"/>
                <w:kern w:val="0"/>
                <w:sz w:val="22"/>
                <w:szCs w:val="22"/>
                <w:highlight w:val="none"/>
                <w:vertAlign w:val="subscript"/>
              </w:rPr>
              <w:t>2</w:t>
            </w:r>
            <w:r>
              <w:rPr>
                <w:rFonts w:hint="eastAsia" w:ascii="宋体" w:hAnsi="宋体" w:eastAsia="宋体" w:cs="宋体"/>
                <w:color w:val="auto"/>
                <w:kern w:val="0"/>
                <w:sz w:val="22"/>
                <w:szCs w:val="22"/>
                <w:highlight w:val="none"/>
              </w:rPr>
              <w:t>/mmol mol</w:t>
            </w:r>
            <w:r>
              <w:rPr>
                <w:rFonts w:hint="eastAsia" w:ascii="宋体" w:hAnsi="宋体" w:eastAsia="宋体" w:cs="宋体"/>
                <w:color w:val="auto"/>
                <w:kern w:val="0"/>
                <w:sz w:val="22"/>
                <w:szCs w:val="22"/>
                <w:highlight w:val="none"/>
                <w:vertAlign w:val="superscript"/>
              </w:rPr>
              <w:t>-1</w:t>
            </w:r>
            <w:r>
              <w:rPr>
                <w:rFonts w:hint="eastAsia" w:ascii="宋体" w:hAnsi="宋体" w:eastAsia="宋体" w:cs="宋体"/>
                <w:color w:val="auto"/>
                <w:kern w:val="0"/>
                <w:sz w:val="22"/>
                <w:szCs w:val="22"/>
                <w:highlight w:val="none"/>
              </w:rPr>
              <w:t xml:space="preserve"> H</w:t>
            </w:r>
            <w:r>
              <w:rPr>
                <w:rFonts w:hint="eastAsia" w:ascii="宋体" w:hAnsi="宋体" w:eastAsia="宋体" w:cs="宋体"/>
                <w:color w:val="auto"/>
                <w:kern w:val="0"/>
                <w:sz w:val="22"/>
                <w:szCs w:val="22"/>
                <w:highlight w:val="none"/>
                <w:vertAlign w:val="subscript"/>
              </w:rPr>
              <w:t>2</w:t>
            </w:r>
            <w:r>
              <w:rPr>
                <w:rFonts w:hint="eastAsia" w:ascii="宋体" w:hAnsi="宋体" w:eastAsia="宋体" w:cs="宋体"/>
                <w:color w:val="auto"/>
                <w:kern w:val="0"/>
                <w:sz w:val="22"/>
                <w:szCs w:val="22"/>
                <w:highlight w:val="none"/>
              </w:rPr>
              <w:t>O</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H</w:t>
            </w:r>
            <w:r>
              <w:rPr>
                <w:rFonts w:hint="eastAsia" w:ascii="宋体" w:hAnsi="宋体" w:eastAsia="宋体" w:cs="宋体"/>
                <w:color w:val="auto"/>
                <w:kern w:val="0"/>
                <w:sz w:val="22"/>
                <w:szCs w:val="22"/>
                <w:highlight w:val="none"/>
                <w:vertAlign w:val="subscript"/>
              </w:rPr>
              <w:t>2</w:t>
            </w:r>
            <w:r>
              <w:rPr>
                <w:rFonts w:hint="eastAsia" w:ascii="宋体" w:hAnsi="宋体" w:eastAsia="宋体" w:cs="宋体"/>
                <w:color w:val="auto"/>
                <w:kern w:val="0"/>
                <w:sz w:val="22"/>
                <w:szCs w:val="22"/>
                <w:highlight w:val="none"/>
              </w:rPr>
              <w:t>O分析器指标</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1．测量量程: 0-60 mmol mol</w:t>
            </w:r>
            <w:r>
              <w:rPr>
                <w:rFonts w:hint="eastAsia" w:ascii="宋体" w:hAnsi="宋体" w:eastAsia="宋体" w:cs="宋体"/>
                <w:color w:val="auto"/>
                <w:kern w:val="0"/>
                <w:sz w:val="22"/>
                <w:szCs w:val="22"/>
                <w:highlight w:val="none"/>
                <w:vertAlign w:val="superscript"/>
              </w:rPr>
              <w:t>-1</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2．精度：优于读数的1.5%</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3．校准漂移（°C-1）：零点漂移：&lt;0.003 mmol mol</w:t>
            </w:r>
            <w:r>
              <w:rPr>
                <w:rFonts w:hint="eastAsia" w:ascii="宋体" w:hAnsi="宋体" w:eastAsia="宋体" w:cs="宋体"/>
                <w:color w:val="auto"/>
                <w:kern w:val="0"/>
                <w:sz w:val="22"/>
                <w:szCs w:val="22"/>
                <w:highlight w:val="none"/>
                <w:vertAlign w:val="superscript"/>
              </w:rPr>
              <w:t>-1</w:t>
            </w:r>
            <w:r>
              <w:rPr>
                <w:rFonts w:hint="eastAsia" w:ascii="宋体" w:hAnsi="宋体" w:eastAsia="宋体" w:cs="宋体"/>
                <w:color w:val="auto"/>
                <w:kern w:val="0"/>
                <w:sz w:val="22"/>
                <w:szCs w:val="22"/>
                <w:highlight w:val="none"/>
              </w:rPr>
              <w:t>；跨度漂移：&lt;0.03%@10 mmol mol</w:t>
            </w:r>
            <w:r>
              <w:rPr>
                <w:rFonts w:hint="eastAsia" w:ascii="宋体" w:hAnsi="宋体" w:eastAsia="宋体" w:cs="宋体"/>
                <w:color w:val="auto"/>
                <w:kern w:val="0"/>
                <w:sz w:val="22"/>
                <w:szCs w:val="22"/>
                <w:highlight w:val="none"/>
                <w:vertAlign w:val="superscript"/>
              </w:rPr>
              <w:t>-1</w:t>
            </w:r>
            <w:r>
              <w:rPr>
                <w:rFonts w:hint="eastAsia" w:ascii="宋体" w:hAnsi="宋体" w:eastAsia="宋体" w:cs="宋体"/>
                <w:color w:val="auto"/>
                <w:kern w:val="0"/>
                <w:sz w:val="22"/>
                <w:szCs w:val="22"/>
                <w:highlight w:val="none"/>
              </w:rPr>
              <w:t>；总漂移: &lt;0.009 mmol mol</w:t>
            </w:r>
            <w:r>
              <w:rPr>
                <w:rFonts w:hint="eastAsia" w:ascii="宋体" w:hAnsi="宋体" w:eastAsia="宋体" w:cs="宋体"/>
                <w:color w:val="auto"/>
                <w:kern w:val="0"/>
                <w:sz w:val="22"/>
                <w:szCs w:val="22"/>
                <w:highlight w:val="none"/>
                <w:vertAlign w:val="superscript"/>
              </w:rPr>
              <w:t>-1</w:t>
            </w:r>
            <w:r>
              <w:rPr>
                <w:rFonts w:hint="eastAsia" w:ascii="宋体" w:hAnsi="宋体" w:eastAsia="宋体" w:cs="宋体"/>
                <w:color w:val="auto"/>
                <w:kern w:val="0"/>
                <w:sz w:val="22"/>
                <w:szCs w:val="22"/>
                <w:highlight w:val="none"/>
              </w:rPr>
              <w:t>@10 mmol mol</w:t>
            </w:r>
            <w:r>
              <w:rPr>
                <w:rFonts w:hint="eastAsia" w:ascii="宋体" w:hAnsi="宋体" w:eastAsia="宋体" w:cs="宋体"/>
                <w:color w:val="auto"/>
                <w:kern w:val="0"/>
                <w:sz w:val="22"/>
                <w:szCs w:val="22"/>
                <w:highlight w:val="none"/>
                <w:vertAlign w:val="superscript"/>
              </w:rPr>
              <w:t>-1</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4．RMS噪声: &lt;0.01 mmol mol</w:t>
            </w:r>
            <w:r>
              <w:rPr>
                <w:rFonts w:hint="eastAsia" w:ascii="宋体" w:hAnsi="宋体" w:eastAsia="宋体" w:cs="宋体"/>
                <w:color w:val="auto"/>
                <w:kern w:val="0"/>
                <w:sz w:val="22"/>
                <w:szCs w:val="22"/>
                <w:highlight w:val="none"/>
                <w:vertAlign w:val="superscript"/>
              </w:rPr>
              <w:t>-1</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5．对CO</w:t>
            </w:r>
            <w:r>
              <w:rPr>
                <w:rFonts w:hint="eastAsia" w:ascii="宋体" w:hAnsi="宋体" w:eastAsia="宋体" w:cs="宋体"/>
                <w:color w:val="auto"/>
                <w:kern w:val="0"/>
                <w:sz w:val="22"/>
                <w:szCs w:val="22"/>
                <w:highlight w:val="none"/>
                <w:vertAlign w:val="subscript"/>
              </w:rPr>
              <w:t>2</w:t>
            </w:r>
            <w:r>
              <w:rPr>
                <w:rFonts w:hint="eastAsia" w:ascii="宋体" w:hAnsi="宋体" w:eastAsia="宋体" w:cs="宋体"/>
                <w:color w:val="auto"/>
                <w:kern w:val="0"/>
                <w:sz w:val="22"/>
                <w:szCs w:val="22"/>
                <w:highlight w:val="none"/>
              </w:rPr>
              <w:t>的灵敏度: &lt;0.0001 mmol mol</w:t>
            </w:r>
            <w:r>
              <w:rPr>
                <w:rFonts w:hint="eastAsia" w:ascii="宋体" w:hAnsi="宋体" w:eastAsia="宋体" w:cs="宋体"/>
                <w:color w:val="auto"/>
                <w:kern w:val="0"/>
                <w:sz w:val="22"/>
                <w:szCs w:val="22"/>
                <w:highlight w:val="none"/>
                <w:vertAlign w:val="superscript"/>
              </w:rPr>
              <w:t>-1</w:t>
            </w:r>
            <w:r>
              <w:rPr>
                <w:rFonts w:hint="eastAsia" w:ascii="宋体" w:hAnsi="宋体" w:eastAsia="宋体" w:cs="宋体"/>
                <w:color w:val="auto"/>
                <w:kern w:val="0"/>
                <w:sz w:val="22"/>
                <w:szCs w:val="22"/>
                <w:highlight w:val="none"/>
              </w:rPr>
              <w:t>H</w:t>
            </w:r>
            <w:r>
              <w:rPr>
                <w:rFonts w:hint="eastAsia" w:ascii="宋体" w:hAnsi="宋体" w:eastAsia="宋体" w:cs="宋体"/>
                <w:color w:val="auto"/>
                <w:kern w:val="0"/>
                <w:sz w:val="22"/>
                <w:szCs w:val="22"/>
                <w:highlight w:val="none"/>
                <w:vertAlign w:val="subscript"/>
              </w:rPr>
              <w:t>2</w:t>
            </w:r>
            <w:r>
              <w:rPr>
                <w:rFonts w:hint="eastAsia" w:ascii="宋体" w:hAnsi="宋体" w:eastAsia="宋体" w:cs="宋体"/>
                <w:color w:val="auto"/>
                <w:kern w:val="0"/>
                <w:sz w:val="22"/>
                <w:szCs w:val="22"/>
                <w:highlight w:val="none"/>
              </w:rPr>
              <w:t>O/μmol mol</w:t>
            </w:r>
            <w:r>
              <w:rPr>
                <w:rFonts w:hint="eastAsia" w:ascii="宋体" w:hAnsi="宋体" w:eastAsia="宋体" w:cs="宋体"/>
                <w:color w:val="auto"/>
                <w:kern w:val="0"/>
                <w:sz w:val="22"/>
                <w:szCs w:val="22"/>
                <w:highlight w:val="none"/>
                <w:vertAlign w:val="superscript"/>
              </w:rPr>
              <w:t>-1</w:t>
            </w:r>
            <w:r>
              <w:rPr>
                <w:rFonts w:hint="eastAsia" w:ascii="宋体" w:hAnsi="宋体" w:eastAsia="宋体" w:cs="宋体"/>
                <w:color w:val="auto"/>
                <w:kern w:val="0"/>
                <w:sz w:val="22"/>
                <w:szCs w:val="22"/>
                <w:highlight w:val="none"/>
              </w:rPr>
              <w:t xml:space="preserve"> CO</w:t>
            </w:r>
            <w:r>
              <w:rPr>
                <w:rFonts w:hint="eastAsia" w:ascii="宋体" w:hAnsi="宋体" w:eastAsia="宋体" w:cs="宋体"/>
                <w:color w:val="auto"/>
                <w:kern w:val="0"/>
                <w:sz w:val="22"/>
                <w:szCs w:val="22"/>
                <w:highlight w:val="none"/>
                <w:vertAlign w:val="subscript"/>
              </w:rPr>
              <w:t>2</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配置</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1.主机：1台</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2.电源线： 1根</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3.气路套件：1套</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4.说明书：1套</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bidi="ar"/>
              </w:rPr>
              <w:t xml:space="preserve">号条款为加分项，投标需提供合法来源渠道证 </w:t>
            </w:r>
          </w:p>
          <w:p w14:paraId="62F81544">
            <w:pPr>
              <w:keepNext w:val="0"/>
              <w:keepLines w:val="0"/>
              <w:widowControl/>
              <w:suppressLineNumbers w:val="0"/>
              <w:jc w:val="left"/>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kern w:val="0"/>
                <w:sz w:val="22"/>
                <w:szCs w:val="22"/>
                <w:highlight w:val="none"/>
                <w:lang w:val="en-US" w:eastAsia="zh-CN" w:bidi="ar"/>
              </w:rPr>
              <w:t>明文件</w:t>
            </w:r>
          </w:p>
        </w:tc>
        <w:tc>
          <w:tcPr>
            <w:tcW w:w="709" w:type="dxa"/>
            <w:noWrap w:val="0"/>
            <w:vAlign w:val="center"/>
          </w:tcPr>
          <w:p w14:paraId="350BC39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w:t>
            </w:r>
          </w:p>
        </w:tc>
        <w:tc>
          <w:tcPr>
            <w:tcW w:w="790" w:type="dxa"/>
            <w:noWrap w:val="0"/>
            <w:vAlign w:val="center"/>
          </w:tcPr>
          <w:p w14:paraId="5C2E73D2">
            <w:pPr>
              <w:widowControl w:val="0"/>
              <w:jc w:val="center"/>
              <w:rPr>
                <w:rFonts w:hint="eastAsia"/>
                <w:color w:val="auto"/>
                <w:highlight w:val="none"/>
                <w:vertAlign w:val="baseline"/>
                <w:lang w:val="en-US" w:eastAsia="zh-CN"/>
              </w:rPr>
            </w:pPr>
            <w:r>
              <w:rPr>
                <w:rFonts w:hint="eastAsia"/>
                <w:color w:val="auto"/>
                <w:highlight w:val="none"/>
                <w:vertAlign w:val="baseline"/>
                <w:lang w:val="en-US" w:eastAsia="zh-CN"/>
              </w:rPr>
              <w:t>台</w:t>
            </w:r>
          </w:p>
        </w:tc>
        <w:tc>
          <w:tcPr>
            <w:tcW w:w="894" w:type="dxa"/>
            <w:noWrap w:val="0"/>
            <w:vAlign w:val="top"/>
          </w:tcPr>
          <w:p w14:paraId="39F7CDD8">
            <w:pPr>
              <w:widowControl w:val="0"/>
              <w:jc w:val="center"/>
              <w:rPr>
                <w:color w:val="auto"/>
                <w:highlight w:val="none"/>
                <w:vertAlign w:val="baseline"/>
              </w:rPr>
            </w:pPr>
          </w:p>
        </w:tc>
      </w:tr>
      <w:tr w14:paraId="44C0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45184069">
            <w:pPr>
              <w:widowControl/>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w:t>
            </w:r>
          </w:p>
        </w:tc>
        <w:tc>
          <w:tcPr>
            <w:tcW w:w="1342" w:type="dxa"/>
            <w:noWrap w:val="0"/>
            <w:vAlign w:val="center"/>
          </w:tcPr>
          <w:p w14:paraId="2B899176">
            <w:pPr>
              <w:widowControl/>
              <w:jc w:val="center"/>
              <w:textAlignment w:val="center"/>
              <w:rPr>
                <w:color w:val="auto"/>
                <w:highlight w:val="none"/>
                <w:vertAlign w:val="baseline"/>
              </w:rPr>
            </w:pPr>
            <w:r>
              <w:rPr>
                <w:rFonts w:hint="eastAsia" w:ascii="宋体" w:hAnsi="宋体" w:eastAsia="宋体" w:cs="宋体"/>
                <w:color w:val="auto"/>
                <w:kern w:val="0"/>
                <w:sz w:val="22"/>
                <w:szCs w:val="22"/>
                <w:highlight w:val="none"/>
              </w:rPr>
              <w:t>原位根系生长监测系统</w:t>
            </w:r>
          </w:p>
        </w:tc>
        <w:tc>
          <w:tcPr>
            <w:tcW w:w="4836" w:type="dxa"/>
            <w:noWrap w:val="0"/>
            <w:vAlign w:val="top"/>
          </w:tcPr>
          <w:p w14:paraId="1B214674">
            <w:pPr>
              <w:widowControl/>
              <w:jc w:val="left"/>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kern w:val="0"/>
                <w:sz w:val="22"/>
                <w:szCs w:val="22"/>
                <w:highlight w:val="none"/>
              </w:rPr>
              <w:t>技术参数：</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1.成像方式：“扫描”模式监测，360度无死角成像，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2.微根管规格：外径约70mm,内径约65mm,壁厚约2.5mm；</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3.微根管材质：进口PMMA材质，透光率不小于92％（在可见光范围内&lt;0.05％吸收； @3 mm厚度）；</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4.扫描图片：≥210*204.1mm，扫描速度：≤10秒，扫描分辨率：300、600、1200 dpi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5.图像命名：含有文件名-根管编号-位置-日期-时间-周期-采集人-角度等信息</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6.控制单元：平板电脑，</w:t>
            </w:r>
            <w:r>
              <w:rPr>
                <w:rFonts w:hint="eastAsia" w:ascii="宋体" w:hAnsi="宋体" w:eastAsia="宋体" w:cs="宋体"/>
                <w:color w:val="auto"/>
                <w:kern w:val="0"/>
                <w:sz w:val="22"/>
                <w:szCs w:val="22"/>
                <w:highlight w:val="none"/>
                <w:lang w:val="en-US" w:eastAsia="zh-CN" w:bidi="ar"/>
              </w:rPr>
              <w:t>主流操作系统</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7.连接线缆：USB线；</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8.供电模块：12V（3A）供电，配内置可充电锂电池，可在野外连续工作7小时以上；</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9.定位标尺：定位孔标准距离约为20cm；最多可连续接3个定位标尺；</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10.定位手柄：经典的“Smucker”定位手柄，可实现准确、快速的环形定位；</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11.控制软件：集成扫描功能于一体，自动曲面校准，可控制扫描模块自动旋转和分辨率，遵循ICAP命名规则，适配各种分析软件；</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12.分析软件：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采用基于图像语义分割手段U-net卷积神经网络法，可识别微根管扫描拍摄的根系图片，可自动获得概率图、二值化图、分级图、根尖分布图、地平线长度图及骨架图等过程图片以及总根长、总投影面积、总表面积、平均直径、总体积、总根尖数及不同直径分级参数等识别结果。可视化展示概率图、二值化图、根尖分布图、地平线长度图、骨架图。通过叠色图和叠直径图查看分割的效果；</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2）可通过手动描根进行形态学（长度，面积，体积......），拓扑结构，体系结构和颜色等的分析，广泛应用于根系研究领域。</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13.工作环境：0℃～50℃,相对湿度0～100%RH（没有水汽凝结）。</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14.基本配置：控制平板1台，高清扫描模块1个，数据线缆1条，定位标尺1根，定位手柄1个，电源线1根，进口材质微根管20根，控制软件1套，根系图片分析软件1套。</w:t>
            </w:r>
          </w:p>
        </w:tc>
        <w:tc>
          <w:tcPr>
            <w:tcW w:w="709" w:type="dxa"/>
            <w:noWrap w:val="0"/>
            <w:vAlign w:val="center"/>
          </w:tcPr>
          <w:p w14:paraId="3C1EAAA9">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w:t>
            </w:r>
          </w:p>
        </w:tc>
        <w:tc>
          <w:tcPr>
            <w:tcW w:w="790" w:type="dxa"/>
            <w:noWrap w:val="0"/>
            <w:vAlign w:val="center"/>
          </w:tcPr>
          <w:p w14:paraId="5237E165">
            <w:pPr>
              <w:widowControl w:val="0"/>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套</w:t>
            </w:r>
          </w:p>
        </w:tc>
        <w:tc>
          <w:tcPr>
            <w:tcW w:w="894" w:type="dxa"/>
            <w:noWrap w:val="0"/>
            <w:vAlign w:val="top"/>
          </w:tcPr>
          <w:p w14:paraId="57F5682B">
            <w:pPr>
              <w:widowControl w:val="0"/>
              <w:jc w:val="center"/>
              <w:rPr>
                <w:color w:val="auto"/>
                <w:highlight w:val="none"/>
                <w:vertAlign w:val="baseline"/>
              </w:rPr>
            </w:pPr>
          </w:p>
        </w:tc>
      </w:tr>
      <w:tr w14:paraId="6FC9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298B1B29">
            <w:pPr>
              <w:widowControl/>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9</w:t>
            </w:r>
          </w:p>
        </w:tc>
        <w:tc>
          <w:tcPr>
            <w:tcW w:w="1342" w:type="dxa"/>
            <w:noWrap w:val="0"/>
            <w:vAlign w:val="center"/>
          </w:tcPr>
          <w:p w14:paraId="48F900EB">
            <w:pPr>
              <w:widowControl/>
              <w:jc w:val="center"/>
              <w:textAlignment w:val="center"/>
              <w:rPr>
                <w:color w:val="auto"/>
                <w:highlight w:val="none"/>
                <w:vertAlign w:val="baseline"/>
              </w:rPr>
            </w:pPr>
            <w:r>
              <w:rPr>
                <w:rFonts w:hint="eastAsia" w:ascii="宋体" w:hAnsi="宋体" w:eastAsia="宋体" w:cs="宋体"/>
                <w:color w:val="auto"/>
                <w:kern w:val="0"/>
                <w:sz w:val="22"/>
                <w:szCs w:val="22"/>
                <w:highlight w:val="none"/>
              </w:rPr>
              <w:t>露点水势仪</w:t>
            </w:r>
            <w:r>
              <w:rPr>
                <w:rFonts w:hint="eastAsia" w:ascii="宋体" w:hAnsi="宋体" w:eastAsia="宋体" w:cs="宋体"/>
                <w:i w:val="0"/>
                <w:iCs w:val="0"/>
                <w:color w:val="auto"/>
                <w:kern w:val="0"/>
                <w:sz w:val="20"/>
                <w:szCs w:val="20"/>
                <w:highlight w:val="none"/>
                <w:u w:val="none"/>
                <w:lang w:val="en-US" w:eastAsia="zh-CN" w:bidi="ar"/>
              </w:rPr>
              <w:t>（本产品已做进口产品论证，允许采购进口产品）</w:t>
            </w:r>
          </w:p>
        </w:tc>
        <w:tc>
          <w:tcPr>
            <w:tcW w:w="4836" w:type="dxa"/>
            <w:noWrap w:val="0"/>
            <w:vAlign w:val="top"/>
          </w:tcPr>
          <w:p w14:paraId="7DAB1F0B">
            <w:pPr>
              <w:widowControl/>
              <w:jc w:val="left"/>
              <w:textAlignment w:val="top"/>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kern w:val="0"/>
                <w:sz w:val="22"/>
                <w:szCs w:val="22"/>
                <w:highlight w:val="none"/>
              </w:rPr>
              <w:t>性能指标：</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 操作环境：5～40℃,20～85%相对湿度</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2. 温度控制：15～40℃ ±0.2 ℃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 传感器：红外温度传感器与冷镜露点温度传感器</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4. 电源：110～220V 交流, 50/60Hz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5. 显示屏：≥20 × 2 LCD 显示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6. 测量范围：-0.1～-300MPa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7. 精度： 0～-10MPa范围是±0.05Mpa，-10～-300MPa范围是±1%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8. 分辨率：±0.01 MPa</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9. 测量时间： ≥5min（土壤样品）；≥20min（植物样品）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10. 通信接口： RS232串口电缆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11.样品室容积： 推荐7ml（全满为15ml）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配置组成：</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1.主机：1套；</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2.不锈钢样品杯：1套（10个/套）；</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3.低密度聚乙烯材质 (LDPE)样品杯，带盖(25个/套)：1套；</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4.电源线：1根；</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5.数据线：1根；</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6.校准标样：0.5克分子的KCL(10个/套)；</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7.清洁工具包：1套；</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8.使用手册：1套</w:t>
            </w:r>
          </w:p>
        </w:tc>
        <w:tc>
          <w:tcPr>
            <w:tcW w:w="709" w:type="dxa"/>
            <w:noWrap w:val="0"/>
            <w:vAlign w:val="center"/>
          </w:tcPr>
          <w:p w14:paraId="6348EB6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w:t>
            </w:r>
          </w:p>
        </w:tc>
        <w:tc>
          <w:tcPr>
            <w:tcW w:w="790" w:type="dxa"/>
            <w:noWrap w:val="0"/>
            <w:vAlign w:val="center"/>
          </w:tcPr>
          <w:p w14:paraId="2829C4F6">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台</w:t>
            </w:r>
          </w:p>
        </w:tc>
        <w:tc>
          <w:tcPr>
            <w:tcW w:w="894" w:type="dxa"/>
            <w:noWrap w:val="0"/>
            <w:vAlign w:val="top"/>
          </w:tcPr>
          <w:p w14:paraId="3455702C">
            <w:pPr>
              <w:widowControl w:val="0"/>
              <w:jc w:val="center"/>
              <w:rPr>
                <w:color w:val="auto"/>
                <w:highlight w:val="none"/>
                <w:vertAlign w:val="baseline"/>
              </w:rPr>
            </w:pPr>
          </w:p>
        </w:tc>
      </w:tr>
      <w:tr w14:paraId="0894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18AE9D70">
            <w:pPr>
              <w:widowControl/>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w:t>
            </w:r>
          </w:p>
        </w:tc>
        <w:tc>
          <w:tcPr>
            <w:tcW w:w="1342" w:type="dxa"/>
            <w:noWrap w:val="0"/>
            <w:vAlign w:val="center"/>
          </w:tcPr>
          <w:p w14:paraId="6AC4753F">
            <w:pPr>
              <w:widowControl/>
              <w:jc w:val="center"/>
              <w:textAlignment w:val="center"/>
              <w:rPr>
                <w:color w:val="auto"/>
                <w:highlight w:val="none"/>
                <w:vertAlign w:val="baseline"/>
              </w:rPr>
            </w:pPr>
            <w:r>
              <w:rPr>
                <w:rFonts w:hint="eastAsia" w:ascii="宋体" w:hAnsi="宋体" w:eastAsia="宋体" w:cs="宋体"/>
                <w:color w:val="auto"/>
                <w:kern w:val="0"/>
                <w:sz w:val="22"/>
                <w:szCs w:val="22"/>
                <w:highlight w:val="none"/>
              </w:rPr>
              <w:t>土壤ph计</w:t>
            </w:r>
            <w:r>
              <w:rPr>
                <w:rFonts w:hint="eastAsia" w:ascii="宋体" w:hAnsi="宋体" w:eastAsia="宋体" w:cs="宋体"/>
                <w:i w:val="0"/>
                <w:iCs w:val="0"/>
                <w:color w:val="auto"/>
                <w:kern w:val="0"/>
                <w:sz w:val="20"/>
                <w:szCs w:val="20"/>
                <w:highlight w:val="none"/>
                <w:u w:val="none"/>
                <w:lang w:val="en-US" w:eastAsia="zh-CN" w:bidi="ar"/>
              </w:rPr>
              <w:t>（本产品已做进口产品论证，允许采购进口产品）</w:t>
            </w:r>
          </w:p>
        </w:tc>
        <w:tc>
          <w:tcPr>
            <w:tcW w:w="4836" w:type="dxa"/>
            <w:noWrap w:val="0"/>
            <w:vAlign w:val="top"/>
          </w:tcPr>
          <w:p w14:paraId="61CD2453">
            <w:pPr>
              <w:widowControl/>
              <w:jc w:val="left"/>
              <w:textAlignment w:val="top"/>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kern w:val="0"/>
                <w:sz w:val="22"/>
                <w:szCs w:val="22"/>
                <w:highlight w:val="none"/>
              </w:rPr>
              <w:t>技术指标</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1.范围：pH 0.00～14.00</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2.分辨率：≥pH 0.02pH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3.精度：pH±0.02pH</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4.飘移：＜0.14pH/24小时</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5.无线充电电池</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6.LED状态灯</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7.校正：1，2，3，5点校正</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8.蓝牙连接</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9.ATC自动温度补偿</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10.探针长度：≥128mm</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11.存储：当手机断开连接时，可存储在主机里</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12.工作环境：0～80，30%～80%</w:t>
            </w:r>
          </w:p>
        </w:tc>
        <w:tc>
          <w:tcPr>
            <w:tcW w:w="709" w:type="dxa"/>
            <w:noWrap w:val="0"/>
            <w:vAlign w:val="center"/>
          </w:tcPr>
          <w:p w14:paraId="2D57E90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w:t>
            </w:r>
          </w:p>
        </w:tc>
        <w:tc>
          <w:tcPr>
            <w:tcW w:w="790" w:type="dxa"/>
            <w:noWrap w:val="0"/>
            <w:vAlign w:val="center"/>
          </w:tcPr>
          <w:p w14:paraId="6765C3E3">
            <w:pPr>
              <w:widowControl w:val="0"/>
              <w:jc w:val="center"/>
              <w:rPr>
                <w:rFonts w:hint="eastAsia"/>
                <w:color w:val="auto"/>
                <w:highlight w:val="none"/>
                <w:vertAlign w:val="baseline"/>
                <w:lang w:val="en-US" w:eastAsia="zh-CN"/>
              </w:rPr>
            </w:pPr>
            <w:r>
              <w:rPr>
                <w:rFonts w:hint="eastAsia"/>
                <w:color w:val="auto"/>
                <w:highlight w:val="none"/>
                <w:vertAlign w:val="baseline"/>
                <w:lang w:val="en-US" w:eastAsia="zh-CN"/>
              </w:rPr>
              <w:t>台</w:t>
            </w:r>
          </w:p>
        </w:tc>
        <w:tc>
          <w:tcPr>
            <w:tcW w:w="894" w:type="dxa"/>
            <w:noWrap w:val="0"/>
            <w:vAlign w:val="top"/>
          </w:tcPr>
          <w:p w14:paraId="798F8301">
            <w:pPr>
              <w:widowControl w:val="0"/>
              <w:jc w:val="center"/>
              <w:rPr>
                <w:color w:val="auto"/>
                <w:highlight w:val="none"/>
                <w:vertAlign w:val="baseline"/>
              </w:rPr>
            </w:pPr>
          </w:p>
        </w:tc>
      </w:tr>
      <w:tr w14:paraId="4CD1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089E348A">
            <w:pPr>
              <w:widowControl/>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11</w:t>
            </w:r>
          </w:p>
        </w:tc>
        <w:tc>
          <w:tcPr>
            <w:tcW w:w="1342" w:type="dxa"/>
            <w:noWrap w:val="0"/>
            <w:vAlign w:val="center"/>
          </w:tcPr>
          <w:p w14:paraId="056770D5">
            <w:pPr>
              <w:widowControl/>
              <w:jc w:val="center"/>
              <w:textAlignment w:val="center"/>
              <w:rPr>
                <w:color w:val="auto"/>
                <w:highlight w:val="none"/>
                <w:vertAlign w:val="baseline"/>
              </w:rPr>
            </w:pPr>
            <w:r>
              <w:rPr>
                <w:rFonts w:hint="eastAsia" w:ascii="宋体" w:hAnsi="宋体" w:eastAsia="宋体" w:cs="宋体"/>
                <w:color w:val="auto"/>
                <w:kern w:val="0"/>
                <w:sz w:val="22"/>
                <w:szCs w:val="22"/>
                <w:highlight w:val="none"/>
              </w:rPr>
              <w:t>火焰分光光度计</w:t>
            </w:r>
          </w:p>
        </w:tc>
        <w:tc>
          <w:tcPr>
            <w:tcW w:w="4836" w:type="dxa"/>
            <w:noWrap w:val="0"/>
            <w:vAlign w:val="top"/>
          </w:tcPr>
          <w:p w14:paraId="628C9297">
            <w:pPr>
              <w:widowControl/>
              <w:jc w:val="left"/>
              <w:textAlignment w:val="top"/>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kern w:val="0"/>
                <w:sz w:val="22"/>
                <w:szCs w:val="22"/>
                <w:highlight w:val="none"/>
              </w:rPr>
              <w:t>显示方式:≥7英吋彩色电容触控液晶屏</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显示结果:浓度值/光强度</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读数范围:0.000～999.9/0～65535</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测试元素:钾、钠、钙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通道数:≥3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检测限Mmol/L 钾:≤0.004,检测限Mmol/L 钠:≤0.008,检测限Mmol/L 钙:≤0.050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线性误差mmol/L 钾:≤0.005</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线性误差mmol/L 钠:≤0.03</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线性误差mmol/L 钙:≤0.075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响应时间:＜8s</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小吸喷量:＜6ml/min</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稳定性:用标准溶液连续进样，15s内仪器示值的相对大变化量≤3%每分钟测1次，共测定6次，仪器示值的大变化量≤15%</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重复性:≤3%</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曲线图:有</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打印机:标配</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打印机类型:蓝牙打印机</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USB接口:有</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电脑软件:选配</w:t>
            </w:r>
          </w:p>
        </w:tc>
        <w:tc>
          <w:tcPr>
            <w:tcW w:w="709" w:type="dxa"/>
            <w:noWrap w:val="0"/>
            <w:vAlign w:val="center"/>
          </w:tcPr>
          <w:p w14:paraId="5E6E8C1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w:t>
            </w:r>
          </w:p>
        </w:tc>
        <w:tc>
          <w:tcPr>
            <w:tcW w:w="790" w:type="dxa"/>
            <w:noWrap w:val="0"/>
            <w:vAlign w:val="center"/>
          </w:tcPr>
          <w:p w14:paraId="32F9AEE6">
            <w:pPr>
              <w:widowControl w:val="0"/>
              <w:jc w:val="center"/>
              <w:rPr>
                <w:color w:val="auto"/>
                <w:highlight w:val="none"/>
                <w:vertAlign w:val="baseline"/>
              </w:rPr>
            </w:pPr>
            <w:r>
              <w:rPr>
                <w:rFonts w:hint="eastAsia"/>
                <w:color w:val="auto"/>
                <w:highlight w:val="none"/>
                <w:vertAlign w:val="baseline"/>
                <w:lang w:val="en-US" w:eastAsia="zh-CN"/>
              </w:rPr>
              <w:t>台</w:t>
            </w:r>
          </w:p>
        </w:tc>
        <w:tc>
          <w:tcPr>
            <w:tcW w:w="894" w:type="dxa"/>
            <w:noWrap w:val="0"/>
            <w:vAlign w:val="top"/>
          </w:tcPr>
          <w:p w14:paraId="2246598D">
            <w:pPr>
              <w:widowControl w:val="0"/>
              <w:jc w:val="center"/>
              <w:rPr>
                <w:color w:val="auto"/>
                <w:highlight w:val="none"/>
                <w:vertAlign w:val="baseline"/>
              </w:rPr>
            </w:pPr>
          </w:p>
        </w:tc>
      </w:tr>
      <w:tr w14:paraId="2ADA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5B07C8CB">
            <w:pPr>
              <w:widowControl/>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12</w:t>
            </w:r>
          </w:p>
        </w:tc>
        <w:tc>
          <w:tcPr>
            <w:tcW w:w="1342" w:type="dxa"/>
            <w:noWrap w:val="0"/>
            <w:vAlign w:val="center"/>
          </w:tcPr>
          <w:p w14:paraId="5BF057CD">
            <w:pPr>
              <w:widowControl/>
              <w:jc w:val="center"/>
              <w:textAlignment w:val="center"/>
              <w:rPr>
                <w:color w:val="auto"/>
                <w:highlight w:val="none"/>
                <w:vertAlign w:val="baseline"/>
              </w:rPr>
            </w:pPr>
            <w:r>
              <w:rPr>
                <w:rFonts w:hint="eastAsia" w:ascii="宋体" w:hAnsi="宋体" w:eastAsia="宋体" w:cs="宋体"/>
                <w:color w:val="auto"/>
                <w:kern w:val="0"/>
                <w:sz w:val="22"/>
                <w:szCs w:val="22"/>
                <w:highlight w:val="none"/>
              </w:rPr>
              <w:t>土壤团粒分析仪</w:t>
            </w:r>
          </w:p>
        </w:tc>
        <w:tc>
          <w:tcPr>
            <w:tcW w:w="4836" w:type="dxa"/>
            <w:noWrap w:val="0"/>
            <w:vAlign w:val="top"/>
          </w:tcPr>
          <w:p w14:paraId="3255E196">
            <w:pPr>
              <w:widowControl/>
              <w:jc w:val="left"/>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kern w:val="0"/>
                <w:sz w:val="22"/>
                <w:szCs w:val="22"/>
                <w:highlight w:val="none"/>
              </w:rPr>
              <w:t>1、技术参数</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1.1主机：≥长500mm*宽500mm*高890mm</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1.2不锈钢桶：≥330mm（直径）*430mm（高）</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1.3标准筛：≥100mm（直径）*40mm（高）</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1.4标准筛孔径：10mm，7mm，5mm，3mm，2mm，1mm，0.5mm，0.25mm。（可选配其他规格孔径）</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1.5急停开关：双控</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1.6数显调速器：显示转速、调节转速</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1.7振动频率：0-56次/分钟</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1.8振动幅度：≥50mm</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1.9数显计时器： 计时</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1.10定时范围：0</w:t>
            </w:r>
            <w:r>
              <w:rPr>
                <w:rFonts w:hint="eastAsia" w:ascii="宋体" w:hAnsi="宋体" w:eastAsia="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rPr>
              <w:t>9999分钟</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1.11电源：220V,50Hz</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1.12漏电保护器：10A</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2、仪器配置</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2.1、主机 1台</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2.2不锈钢水桶 4个</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2.3振荡架 1个</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2.4挂架 4个</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2.5筛子 4套（孔径：10mm，7mm，5mm，3mm，2mm，1mm，0.5mm，0.25mm）</w:t>
            </w:r>
          </w:p>
        </w:tc>
        <w:tc>
          <w:tcPr>
            <w:tcW w:w="709" w:type="dxa"/>
            <w:noWrap w:val="0"/>
            <w:vAlign w:val="center"/>
          </w:tcPr>
          <w:p w14:paraId="11B1482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w:t>
            </w:r>
          </w:p>
        </w:tc>
        <w:tc>
          <w:tcPr>
            <w:tcW w:w="790" w:type="dxa"/>
            <w:noWrap w:val="0"/>
            <w:vAlign w:val="center"/>
          </w:tcPr>
          <w:p w14:paraId="0E8C042B">
            <w:pPr>
              <w:widowControl w:val="0"/>
              <w:jc w:val="center"/>
              <w:rPr>
                <w:color w:val="auto"/>
                <w:highlight w:val="none"/>
                <w:vertAlign w:val="baseline"/>
              </w:rPr>
            </w:pPr>
            <w:r>
              <w:rPr>
                <w:rFonts w:hint="eastAsia"/>
                <w:color w:val="auto"/>
                <w:highlight w:val="none"/>
                <w:vertAlign w:val="baseline"/>
                <w:lang w:val="en-US" w:eastAsia="zh-CN"/>
              </w:rPr>
              <w:t>台</w:t>
            </w:r>
          </w:p>
        </w:tc>
        <w:tc>
          <w:tcPr>
            <w:tcW w:w="894" w:type="dxa"/>
            <w:noWrap w:val="0"/>
            <w:vAlign w:val="top"/>
          </w:tcPr>
          <w:p w14:paraId="21DCEAAD">
            <w:pPr>
              <w:widowControl w:val="0"/>
              <w:jc w:val="center"/>
              <w:rPr>
                <w:color w:val="auto"/>
                <w:highlight w:val="none"/>
                <w:vertAlign w:val="baseline"/>
              </w:rPr>
            </w:pPr>
          </w:p>
        </w:tc>
      </w:tr>
      <w:tr w14:paraId="48DE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3D99BA8E">
            <w:pPr>
              <w:widowControl/>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13</w:t>
            </w:r>
          </w:p>
        </w:tc>
        <w:tc>
          <w:tcPr>
            <w:tcW w:w="1342" w:type="dxa"/>
            <w:noWrap w:val="0"/>
            <w:vAlign w:val="center"/>
          </w:tcPr>
          <w:p w14:paraId="65DC6BA5">
            <w:pPr>
              <w:widowControl/>
              <w:jc w:val="center"/>
              <w:textAlignment w:val="center"/>
              <w:rPr>
                <w:color w:val="auto"/>
                <w:highlight w:val="none"/>
                <w:vertAlign w:val="baseline"/>
              </w:rPr>
            </w:pPr>
            <w:r>
              <w:rPr>
                <w:rFonts w:hint="eastAsia" w:ascii="宋体" w:hAnsi="宋体" w:eastAsia="宋体" w:cs="宋体"/>
                <w:color w:val="auto"/>
                <w:kern w:val="0"/>
                <w:sz w:val="22"/>
                <w:szCs w:val="22"/>
                <w:highlight w:val="none"/>
              </w:rPr>
              <w:t>植物光谱仪</w:t>
            </w:r>
            <w:r>
              <w:rPr>
                <w:rFonts w:hint="eastAsia" w:ascii="宋体" w:hAnsi="宋体" w:eastAsia="宋体" w:cs="宋体"/>
                <w:i w:val="0"/>
                <w:iCs w:val="0"/>
                <w:color w:val="auto"/>
                <w:kern w:val="0"/>
                <w:sz w:val="20"/>
                <w:szCs w:val="20"/>
                <w:highlight w:val="none"/>
                <w:u w:val="none"/>
                <w:lang w:val="en-US" w:eastAsia="zh-CN" w:bidi="ar"/>
              </w:rPr>
              <w:t>（本产品已做进口产品论证，允许采购进口产品）</w:t>
            </w:r>
          </w:p>
        </w:tc>
        <w:tc>
          <w:tcPr>
            <w:tcW w:w="4836" w:type="dxa"/>
            <w:noWrap w:val="0"/>
            <w:vAlign w:val="top"/>
          </w:tcPr>
          <w:p w14:paraId="662ED83E">
            <w:pPr>
              <w:keepNext w:val="0"/>
              <w:keepLines w:val="0"/>
              <w:widowControl/>
              <w:suppressLineNumbers w:val="0"/>
              <w:jc w:val="left"/>
              <w:rPr>
                <w:color w:val="auto"/>
                <w:highlight w:val="none"/>
              </w:rPr>
            </w:pPr>
            <w:r>
              <w:rPr>
                <w:rFonts w:hint="eastAsia" w:ascii="宋体" w:hAnsi="宋体" w:eastAsia="宋体" w:cs="宋体"/>
                <w:color w:val="auto"/>
                <w:kern w:val="0"/>
                <w:sz w:val="22"/>
                <w:szCs w:val="22"/>
                <w:highlight w:val="none"/>
              </w:rPr>
              <w:t>1.★测量波段：380-780 nm</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2.波长增量：1 nm</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3.光谱带宽：约12 nm （半峰宽）</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4. ★测量范围：70-150,000 lx （lux）</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               0.5-1,000 W/m</w:t>
            </w:r>
            <w:r>
              <w:rPr>
                <w:rFonts w:hint="eastAsia" w:ascii="宋体" w:hAnsi="宋体" w:eastAsia="宋体" w:cs="宋体"/>
                <w:color w:val="auto"/>
                <w:kern w:val="0"/>
                <w:sz w:val="22"/>
                <w:szCs w:val="22"/>
                <w:highlight w:val="none"/>
                <w:vertAlign w:val="superscript"/>
              </w:rPr>
              <w:t>2</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               1-3,000 µmol m</w:t>
            </w:r>
            <w:r>
              <w:rPr>
                <w:rFonts w:hint="eastAsia" w:ascii="宋体" w:hAnsi="宋体" w:eastAsia="宋体" w:cs="宋体"/>
                <w:color w:val="auto"/>
                <w:kern w:val="0"/>
                <w:sz w:val="22"/>
                <w:szCs w:val="22"/>
                <w:highlight w:val="none"/>
                <w:vertAlign w:val="superscript"/>
              </w:rPr>
              <w:t>-2</w:t>
            </w:r>
            <w:r>
              <w:rPr>
                <w:rFonts w:hint="eastAsia" w:ascii="宋体" w:hAnsi="宋体" w:eastAsia="宋体" w:cs="宋体"/>
                <w:color w:val="auto"/>
                <w:kern w:val="0"/>
                <w:sz w:val="22"/>
                <w:szCs w:val="22"/>
                <w:highlight w:val="none"/>
              </w:rPr>
              <w:t xml:space="preserve"> s</w:t>
            </w:r>
            <w:r>
              <w:rPr>
                <w:rFonts w:hint="eastAsia" w:ascii="宋体" w:hAnsi="宋体" w:eastAsia="宋体" w:cs="宋体"/>
                <w:color w:val="auto"/>
                <w:kern w:val="0"/>
                <w:sz w:val="22"/>
                <w:szCs w:val="22"/>
                <w:highlight w:val="none"/>
                <w:vertAlign w:val="superscript"/>
              </w:rPr>
              <w:t>-1</w:t>
            </w:r>
            <w:r>
              <w:rPr>
                <w:rFonts w:hint="eastAsia" w:ascii="宋体" w:hAnsi="宋体" w:eastAsia="宋体" w:cs="宋体"/>
                <w:color w:val="auto"/>
                <w:kern w:val="0"/>
                <w:sz w:val="22"/>
                <w:szCs w:val="22"/>
                <w:highlight w:val="none"/>
              </w:rPr>
              <w:t>（PPFD）</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5.电池：一般情况下连续工作5小时</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6.存储量：68000 files（8GB SD卡）</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7.操作温度：0 </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 xml:space="preserve"> 35℃</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8.操作湿度：0% </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 xml:space="preserve"> 70%（无冷凝）</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配置要求：</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1.主机：1台</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2.配件包：1套</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3.说明书和下载软件：1套</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bidi="ar"/>
              </w:rPr>
              <w:t xml:space="preserve">号条款为加分项，投标需提供合法来源渠道证 </w:t>
            </w:r>
          </w:p>
          <w:p w14:paraId="6349A487">
            <w:pPr>
              <w:keepNext w:val="0"/>
              <w:keepLines w:val="0"/>
              <w:widowControl/>
              <w:suppressLineNumbers w:val="0"/>
              <w:jc w:val="left"/>
              <w:rPr>
                <w:color w:val="auto"/>
                <w:highlight w:val="none"/>
              </w:rPr>
            </w:pPr>
            <w:r>
              <w:rPr>
                <w:rFonts w:hint="eastAsia" w:ascii="宋体" w:hAnsi="宋体" w:eastAsia="宋体" w:cs="宋体"/>
                <w:color w:val="auto"/>
                <w:kern w:val="0"/>
                <w:sz w:val="22"/>
                <w:szCs w:val="22"/>
                <w:highlight w:val="none"/>
                <w:lang w:val="en-US" w:eastAsia="zh-CN" w:bidi="ar"/>
              </w:rPr>
              <w:t>明文件</w:t>
            </w:r>
          </w:p>
          <w:p w14:paraId="1692F4F0">
            <w:pPr>
              <w:widowControl/>
              <w:jc w:val="left"/>
              <w:textAlignment w:val="top"/>
              <w:rPr>
                <w:rFonts w:hint="eastAsia" w:ascii="宋体" w:hAnsi="宋体" w:eastAsia="宋体" w:cs="宋体"/>
                <w:i w:val="0"/>
                <w:iCs w:val="0"/>
                <w:color w:val="auto"/>
                <w:kern w:val="0"/>
                <w:sz w:val="22"/>
                <w:szCs w:val="22"/>
                <w:highlight w:val="none"/>
                <w:u w:val="none"/>
                <w:lang w:val="en-US" w:eastAsia="zh-CN" w:bidi="ar"/>
              </w:rPr>
            </w:pPr>
          </w:p>
        </w:tc>
        <w:tc>
          <w:tcPr>
            <w:tcW w:w="709" w:type="dxa"/>
            <w:noWrap w:val="0"/>
            <w:vAlign w:val="center"/>
          </w:tcPr>
          <w:p w14:paraId="71F547D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w:t>
            </w:r>
          </w:p>
        </w:tc>
        <w:tc>
          <w:tcPr>
            <w:tcW w:w="790" w:type="dxa"/>
            <w:noWrap w:val="0"/>
            <w:vAlign w:val="center"/>
          </w:tcPr>
          <w:p w14:paraId="357531AB">
            <w:pPr>
              <w:widowControl w:val="0"/>
              <w:jc w:val="center"/>
              <w:rPr>
                <w:rFonts w:hint="eastAsia"/>
                <w:color w:val="auto"/>
                <w:highlight w:val="none"/>
                <w:vertAlign w:val="baseline"/>
                <w:lang w:val="en-US" w:eastAsia="zh-CN"/>
              </w:rPr>
            </w:pPr>
            <w:r>
              <w:rPr>
                <w:rFonts w:hint="eastAsia"/>
                <w:color w:val="auto"/>
                <w:highlight w:val="none"/>
                <w:vertAlign w:val="baseline"/>
                <w:lang w:val="en-US" w:eastAsia="zh-CN"/>
              </w:rPr>
              <w:t>台</w:t>
            </w:r>
          </w:p>
        </w:tc>
        <w:tc>
          <w:tcPr>
            <w:tcW w:w="894" w:type="dxa"/>
            <w:noWrap w:val="0"/>
            <w:vAlign w:val="top"/>
          </w:tcPr>
          <w:p w14:paraId="3921060A">
            <w:pPr>
              <w:widowControl w:val="0"/>
              <w:jc w:val="center"/>
              <w:rPr>
                <w:color w:val="auto"/>
                <w:highlight w:val="none"/>
                <w:vertAlign w:val="baseline"/>
              </w:rPr>
            </w:pPr>
          </w:p>
        </w:tc>
      </w:tr>
      <w:tr w14:paraId="7157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20C9800C">
            <w:pPr>
              <w:widowControl/>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14</w:t>
            </w:r>
          </w:p>
        </w:tc>
        <w:tc>
          <w:tcPr>
            <w:tcW w:w="1342" w:type="dxa"/>
            <w:noWrap w:val="0"/>
            <w:vAlign w:val="center"/>
          </w:tcPr>
          <w:p w14:paraId="675182E5">
            <w:pPr>
              <w:widowControl/>
              <w:jc w:val="center"/>
              <w:textAlignment w:val="center"/>
              <w:rPr>
                <w:color w:val="auto"/>
                <w:highlight w:val="none"/>
                <w:vertAlign w:val="baseline"/>
              </w:rPr>
            </w:pPr>
            <w:r>
              <w:rPr>
                <w:rFonts w:hint="eastAsia" w:ascii="宋体" w:hAnsi="宋体" w:eastAsia="宋体" w:cs="宋体"/>
                <w:color w:val="auto"/>
                <w:kern w:val="0"/>
                <w:sz w:val="22"/>
                <w:szCs w:val="22"/>
                <w:highlight w:val="none"/>
              </w:rPr>
              <w:t>手持式植物叶片光谱仪</w:t>
            </w:r>
          </w:p>
        </w:tc>
        <w:tc>
          <w:tcPr>
            <w:tcW w:w="4836" w:type="dxa"/>
            <w:noWrap w:val="0"/>
            <w:vAlign w:val="top"/>
          </w:tcPr>
          <w:p w14:paraId="75E21B2C">
            <w:pPr>
              <w:widowControl/>
              <w:jc w:val="left"/>
              <w:textAlignment w:val="top"/>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kern w:val="0"/>
                <w:sz w:val="22"/>
                <w:szCs w:val="22"/>
                <w:highlight w:val="none"/>
              </w:rPr>
              <w:t>1、波长范围：300-1100nm；</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2、光谱分辨率：＜3nm，波长重复性：≤0.1nm，波长准确度：≤1nm；</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3、采集方式：采用光纤方式采集光谱，光纤与光谱测量仪主机固定一体；</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4、采集视场角：≤25度，数据输出通道数：≥2000，数据输出间隔：≤0.5nm，最大辐射：2倍太阳光，位深度：≥12bit，光谱仪重量：≤2.5kg；</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5、光谱测量仪内置shutter，自动扣除暗电流；自动OPT优化，自动设置最佳积分时间；</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6、电制冷传感器，最大程度的去除温度变化影响；</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7、波长定标体系，采用Hg、Ne、Ar、Kr组合原子灯，在光谱仪波段范围内，利用多点定标，最大程度保证波长的准确性；</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8、制冷技术：半导体制冷技术；</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9、可以测量DN值、辐射度、反射率，可切换显示当前地物相应的光谱曲线；</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10、开机测量，支持web浏览器操作，软件界面实时显示光谱曲线图像，方便用户判断和选择最佳数据用于保存。</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11、配置要求：地物光谱仪主机1台，光纤1根，校准白板1块、多功能探头1个、叶片夹1个、运输箱1个。</w:t>
            </w:r>
          </w:p>
        </w:tc>
        <w:tc>
          <w:tcPr>
            <w:tcW w:w="709" w:type="dxa"/>
            <w:noWrap w:val="0"/>
            <w:vAlign w:val="center"/>
          </w:tcPr>
          <w:p w14:paraId="1FE39CA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w:t>
            </w:r>
          </w:p>
        </w:tc>
        <w:tc>
          <w:tcPr>
            <w:tcW w:w="790" w:type="dxa"/>
            <w:noWrap w:val="0"/>
            <w:vAlign w:val="center"/>
          </w:tcPr>
          <w:p w14:paraId="1EFF765E">
            <w:pPr>
              <w:widowControl w:val="0"/>
              <w:jc w:val="center"/>
              <w:rPr>
                <w:color w:val="auto"/>
                <w:highlight w:val="none"/>
                <w:vertAlign w:val="baseline"/>
              </w:rPr>
            </w:pPr>
            <w:r>
              <w:rPr>
                <w:rFonts w:hint="eastAsia"/>
                <w:color w:val="auto"/>
                <w:highlight w:val="none"/>
                <w:vertAlign w:val="baseline"/>
                <w:lang w:val="en-US" w:eastAsia="zh-CN"/>
              </w:rPr>
              <w:t>台</w:t>
            </w:r>
          </w:p>
        </w:tc>
        <w:tc>
          <w:tcPr>
            <w:tcW w:w="894" w:type="dxa"/>
            <w:noWrap w:val="0"/>
            <w:vAlign w:val="top"/>
          </w:tcPr>
          <w:p w14:paraId="0287EA4B">
            <w:pPr>
              <w:widowControl w:val="0"/>
              <w:jc w:val="center"/>
              <w:rPr>
                <w:color w:val="auto"/>
                <w:highlight w:val="none"/>
                <w:vertAlign w:val="baseline"/>
              </w:rPr>
            </w:pPr>
          </w:p>
        </w:tc>
      </w:tr>
      <w:tr w14:paraId="2CCD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3AA30F26">
            <w:pPr>
              <w:widowControl/>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15</w:t>
            </w:r>
          </w:p>
        </w:tc>
        <w:tc>
          <w:tcPr>
            <w:tcW w:w="1342" w:type="dxa"/>
            <w:noWrap w:val="0"/>
            <w:vAlign w:val="center"/>
          </w:tcPr>
          <w:p w14:paraId="1392E185">
            <w:pPr>
              <w:widowControl/>
              <w:jc w:val="center"/>
              <w:textAlignment w:val="center"/>
              <w:rPr>
                <w:color w:val="auto"/>
                <w:highlight w:val="none"/>
                <w:vertAlign w:val="baseline"/>
              </w:rPr>
            </w:pPr>
            <w:r>
              <w:rPr>
                <w:rFonts w:hint="eastAsia" w:ascii="宋体" w:hAnsi="宋体" w:eastAsia="宋体" w:cs="宋体"/>
                <w:color w:val="auto"/>
                <w:kern w:val="0"/>
                <w:sz w:val="22"/>
                <w:szCs w:val="22"/>
                <w:highlight w:val="none"/>
              </w:rPr>
              <w:t>植物冠层分析仪</w:t>
            </w:r>
            <w:r>
              <w:rPr>
                <w:rFonts w:hint="eastAsia" w:ascii="宋体" w:hAnsi="宋体" w:eastAsia="宋体" w:cs="宋体"/>
                <w:i w:val="0"/>
                <w:iCs w:val="0"/>
                <w:color w:val="auto"/>
                <w:kern w:val="0"/>
                <w:sz w:val="20"/>
                <w:szCs w:val="20"/>
                <w:highlight w:val="none"/>
                <w:u w:val="none"/>
                <w:lang w:val="en-US" w:eastAsia="zh-CN" w:bidi="ar"/>
              </w:rPr>
              <w:t>（本产品已做进口产品论证，允许采购进口产品）</w:t>
            </w:r>
          </w:p>
        </w:tc>
        <w:tc>
          <w:tcPr>
            <w:tcW w:w="4836" w:type="dxa"/>
            <w:noWrap w:val="0"/>
            <w:vAlign w:val="top"/>
          </w:tcPr>
          <w:p w14:paraId="3BA1D592">
            <w:pPr>
              <w:keepNext w:val="0"/>
              <w:keepLines w:val="0"/>
              <w:widowControl/>
              <w:suppressLineNumbers w:val="0"/>
              <w:jc w:val="left"/>
              <w:rPr>
                <w:color w:val="auto"/>
                <w:highlight w:val="none"/>
              </w:rPr>
            </w:pPr>
            <w:r>
              <w:rPr>
                <w:rFonts w:hint="eastAsia" w:ascii="宋体" w:hAnsi="宋体" w:eastAsia="宋体" w:cs="宋体"/>
                <w:color w:val="auto"/>
                <w:kern w:val="0"/>
                <w:sz w:val="22"/>
                <w:szCs w:val="22"/>
                <w:highlight w:val="none"/>
              </w:rPr>
              <w:t>性能参数：</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环境要求</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1.操作温度范围：-20 － 50° C.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2.湿度范围：0 – 95% RH (非冷凝).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3.保存温度: -40 － 65 °C</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控制单元技术参数</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1.传感器输入：2个6针的光学传感器接口；2个3针接口；</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2.内存：128 MB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3.★GPS：水平位置准确度：2.5米CEP (50% 圆概率误差，室外开阔环境24hr统计结果)，最大位置更新速率：1Hz</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光学感应传感器技术参数</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1.传感器输入：1个与主机项链的6针接口</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2.光路：当从环4的质心测量时，最大偏心误差为1.00°，而最大扩大误差则为0.50°</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3.★辐射阻隔率：在490-650 nm之间的辐射</w:t>
            </w:r>
            <w:r>
              <w:rPr>
                <w:rFonts w:hint="eastAsia" w:ascii="宋体" w:hAnsi="宋体" w:eastAsia="宋体" w:cs="宋体"/>
                <w:color w:val="auto"/>
                <w:kern w:val="0"/>
                <w:sz w:val="22"/>
                <w:szCs w:val="22"/>
                <w:highlight w:val="none"/>
                <w:lang w:val="en-US" w:eastAsia="zh-CN" w:bidi="ar"/>
              </w:rPr>
              <w:t>≥</w:t>
            </w:r>
          </w:p>
          <w:p w14:paraId="5FF10AC1">
            <w:pPr>
              <w:keepNext w:val="0"/>
              <w:keepLines w:val="0"/>
              <w:widowControl/>
              <w:suppressLineNumbers w:val="0"/>
              <w:jc w:val="left"/>
              <w:rPr>
                <w:color w:val="auto"/>
                <w:highlight w:val="none"/>
              </w:rPr>
            </w:pPr>
            <w:r>
              <w:rPr>
                <w:rFonts w:hint="eastAsia" w:ascii="宋体" w:hAnsi="宋体" w:eastAsia="宋体" w:cs="宋体"/>
                <w:color w:val="auto"/>
                <w:kern w:val="0"/>
                <w:sz w:val="22"/>
                <w:szCs w:val="22"/>
                <w:highlight w:val="none"/>
              </w:rPr>
              <w:t>99%被阻隔，大于650nm的辐射</w:t>
            </w: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rPr>
              <w:t>99.9%被阻隔</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4.★感应波长范围：320-490 nm.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5.观察帽: 四种方位角覆盖0°、45°、90°、180°和270°向限</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配置要求：</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1.光学传感器：1台</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2.主机：1台</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3.便携式手提箱：1个</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4.专业计算软件：1套</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5.工具：1套</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6.说明书和下载软件：1套</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bidi="ar"/>
              </w:rPr>
              <w:t xml:space="preserve">号条款为加分项，投标需提供合法来源渠道证 </w:t>
            </w:r>
          </w:p>
          <w:p w14:paraId="5DFB3A1E">
            <w:pPr>
              <w:keepNext w:val="0"/>
              <w:keepLines w:val="0"/>
              <w:widowControl/>
              <w:suppressLineNumbers w:val="0"/>
              <w:jc w:val="left"/>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kern w:val="0"/>
                <w:sz w:val="22"/>
                <w:szCs w:val="22"/>
                <w:highlight w:val="none"/>
                <w:lang w:val="en-US" w:eastAsia="zh-CN" w:bidi="ar"/>
              </w:rPr>
              <w:t>明文件</w:t>
            </w:r>
          </w:p>
        </w:tc>
        <w:tc>
          <w:tcPr>
            <w:tcW w:w="709" w:type="dxa"/>
            <w:noWrap w:val="0"/>
            <w:vAlign w:val="center"/>
          </w:tcPr>
          <w:p w14:paraId="1E8A864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w:t>
            </w:r>
          </w:p>
        </w:tc>
        <w:tc>
          <w:tcPr>
            <w:tcW w:w="790" w:type="dxa"/>
            <w:noWrap w:val="0"/>
            <w:vAlign w:val="center"/>
          </w:tcPr>
          <w:p w14:paraId="66271359">
            <w:pPr>
              <w:widowControl w:val="0"/>
              <w:jc w:val="center"/>
              <w:rPr>
                <w:rFonts w:hint="eastAsia"/>
                <w:color w:val="auto"/>
                <w:highlight w:val="none"/>
                <w:vertAlign w:val="baseline"/>
                <w:lang w:val="en-US" w:eastAsia="zh-CN"/>
              </w:rPr>
            </w:pPr>
            <w:r>
              <w:rPr>
                <w:rFonts w:hint="eastAsia"/>
                <w:color w:val="auto"/>
                <w:highlight w:val="none"/>
                <w:vertAlign w:val="baseline"/>
                <w:lang w:val="en-US" w:eastAsia="zh-CN"/>
              </w:rPr>
              <w:t>台</w:t>
            </w:r>
          </w:p>
        </w:tc>
        <w:tc>
          <w:tcPr>
            <w:tcW w:w="894" w:type="dxa"/>
            <w:noWrap w:val="0"/>
            <w:vAlign w:val="top"/>
          </w:tcPr>
          <w:p w14:paraId="74EDF600">
            <w:pPr>
              <w:widowControl w:val="0"/>
              <w:jc w:val="center"/>
              <w:rPr>
                <w:color w:val="auto"/>
                <w:highlight w:val="none"/>
                <w:vertAlign w:val="baseline"/>
              </w:rPr>
            </w:pPr>
          </w:p>
        </w:tc>
      </w:tr>
      <w:tr w14:paraId="77F3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0EA1B6E5">
            <w:pPr>
              <w:widowControl/>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16</w:t>
            </w:r>
          </w:p>
        </w:tc>
        <w:tc>
          <w:tcPr>
            <w:tcW w:w="1342" w:type="dxa"/>
            <w:noWrap w:val="0"/>
            <w:vAlign w:val="center"/>
          </w:tcPr>
          <w:p w14:paraId="1A7A7922">
            <w:pPr>
              <w:widowControl/>
              <w:jc w:val="center"/>
              <w:textAlignment w:val="center"/>
              <w:rPr>
                <w:color w:val="auto"/>
                <w:highlight w:val="none"/>
                <w:vertAlign w:val="baseline"/>
              </w:rPr>
            </w:pPr>
            <w:r>
              <w:rPr>
                <w:rFonts w:hint="eastAsia" w:ascii="宋体" w:hAnsi="宋体" w:eastAsia="宋体" w:cs="宋体"/>
                <w:color w:val="auto"/>
                <w:kern w:val="0"/>
                <w:sz w:val="22"/>
                <w:szCs w:val="22"/>
                <w:highlight w:val="none"/>
              </w:rPr>
              <w:t>树木年轮分析仪</w:t>
            </w:r>
            <w:r>
              <w:rPr>
                <w:rFonts w:hint="eastAsia" w:ascii="宋体" w:hAnsi="宋体" w:eastAsia="宋体" w:cs="宋体"/>
                <w:i w:val="0"/>
                <w:iCs w:val="0"/>
                <w:color w:val="auto"/>
                <w:kern w:val="0"/>
                <w:sz w:val="20"/>
                <w:szCs w:val="20"/>
                <w:highlight w:val="none"/>
                <w:u w:val="none"/>
                <w:lang w:val="en-US" w:eastAsia="zh-CN" w:bidi="ar"/>
              </w:rPr>
              <w:t>（本产品已做进口产品论证，允许采购进口产品）</w:t>
            </w:r>
          </w:p>
        </w:tc>
        <w:tc>
          <w:tcPr>
            <w:tcW w:w="4836" w:type="dxa"/>
            <w:noWrap w:val="0"/>
            <w:vAlign w:val="top"/>
          </w:tcPr>
          <w:p w14:paraId="078B2B84">
            <w:pPr>
              <w:widowControl/>
              <w:jc w:val="left"/>
              <w:textAlignment w:val="top"/>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kern w:val="0"/>
                <w:sz w:val="22"/>
                <w:szCs w:val="22"/>
                <w:highlight w:val="none"/>
              </w:rPr>
              <w:t>技术指标：</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一、工作条件：</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 工作条件：室内</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 用途：对树木生长锥样芯或年轮盘片进行高度精确性和稳定性的年轮分析。</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二、技术参数：</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 人体工程学设计</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  手动曲柄置于右侧，等径伞齿轮，使曲柄朝前，便于操作</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  高分辨率线性编码器：可做到无间隙测量</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 易于操作</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防水防尘设计：主轴密封在里面，不受脏、湿或腐烂样品的影响</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 兼容性</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通过 USB 线或标准串口线连接到电脑</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  利用软件进行数据分析，可以导出其他格式用 Excel 打开</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4. 操作灵活</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样品重可达 ≥50kg</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  测量可从左到右或从右到左，也可从髓心到树皮或相反（可调节）</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5. 测量长度：≥560mm</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6. 灵敏度：≥5mm/圈</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7. 分辨率：≥5微米</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8. 脚踏开关：有</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10. 显微镜光源：鹅颈LED双光源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11. 显微镜：放大倍数10x-90x</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12. 摄像机及软件：相机, 8.4MP，有</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13. 聚焦臂：粗/细微调可倾式</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14. 软件</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直接控制屏幕测量；数据图形后处理编辑；内部笔记本，用于存储和注释；各种数学函数；可选择线性或对数Y轴</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Math module：多种数学方程、趋势和回归程序、容易操作，运算，转换，起源等</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File format module: 数据交换容易，支持不同的数据格式</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Measurement tables module: 不同的年轮表格，有交叉定年，年代表</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Graph module: 单联和多联序列图形、线图、栅格形式、核心形式、可选择图形标题、可调刻度</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三、组成：</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年轮平台、脚踏板、显微镜、鹅颈LED双光源，摄像机及软件，科学版年轮分析软件。1套</w:t>
            </w:r>
          </w:p>
        </w:tc>
        <w:tc>
          <w:tcPr>
            <w:tcW w:w="709" w:type="dxa"/>
            <w:noWrap w:val="0"/>
            <w:vAlign w:val="center"/>
          </w:tcPr>
          <w:p w14:paraId="1BDC597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w:t>
            </w:r>
          </w:p>
        </w:tc>
        <w:tc>
          <w:tcPr>
            <w:tcW w:w="790" w:type="dxa"/>
            <w:noWrap w:val="0"/>
            <w:vAlign w:val="center"/>
          </w:tcPr>
          <w:p w14:paraId="719066E3">
            <w:pPr>
              <w:widowControl w:val="0"/>
              <w:jc w:val="center"/>
              <w:rPr>
                <w:rFonts w:hint="eastAsia"/>
                <w:color w:val="auto"/>
                <w:highlight w:val="none"/>
                <w:vertAlign w:val="baseline"/>
                <w:lang w:val="en-US" w:eastAsia="zh-CN"/>
              </w:rPr>
            </w:pPr>
            <w:r>
              <w:rPr>
                <w:rFonts w:hint="eastAsia"/>
                <w:color w:val="auto"/>
                <w:highlight w:val="none"/>
                <w:vertAlign w:val="baseline"/>
                <w:lang w:val="en-US" w:eastAsia="zh-CN"/>
              </w:rPr>
              <w:t>台</w:t>
            </w:r>
          </w:p>
        </w:tc>
        <w:tc>
          <w:tcPr>
            <w:tcW w:w="894" w:type="dxa"/>
            <w:noWrap w:val="0"/>
            <w:vAlign w:val="top"/>
          </w:tcPr>
          <w:p w14:paraId="4424A272">
            <w:pPr>
              <w:widowControl w:val="0"/>
              <w:jc w:val="center"/>
              <w:rPr>
                <w:color w:val="auto"/>
                <w:highlight w:val="none"/>
                <w:vertAlign w:val="baseline"/>
              </w:rPr>
            </w:pPr>
          </w:p>
        </w:tc>
      </w:tr>
      <w:tr w14:paraId="56C4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71EE1D19">
            <w:pPr>
              <w:widowControl/>
              <w:jc w:val="center"/>
              <w:textAlignment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17</w:t>
            </w:r>
          </w:p>
        </w:tc>
        <w:tc>
          <w:tcPr>
            <w:tcW w:w="1342" w:type="dxa"/>
            <w:noWrap w:val="0"/>
            <w:vAlign w:val="center"/>
          </w:tcPr>
          <w:p w14:paraId="5C19C63C">
            <w:pPr>
              <w:widowControl/>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手持式GPS智能机</w:t>
            </w:r>
          </w:p>
          <w:p w14:paraId="2619649A">
            <w:pPr>
              <w:widowControl/>
              <w:jc w:val="center"/>
              <w:textAlignment w:val="center"/>
              <w:rPr>
                <w:color w:val="auto"/>
                <w:highlight w:val="none"/>
                <w:vertAlign w:val="baseline"/>
              </w:rPr>
            </w:pP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2台</w:t>
            </w:r>
            <w:r>
              <w:rPr>
                <w:rFonts w:hint="eastAsia" w:ascii="宋体" w:hAnsi="宋体" w:eastAsia="宋体" w:cs="宋体"/>
                <w:color w:val="auto"/>
                <w:kern w:val="0"/>
                <w:sz w:val="22"/>
                <w:szCs w:val="22"/>
                <w:highlight w:val="none"/>
                <w:lang w:eastAsia="zh-CN"/>
              </w:rPr>
              <w:t>）</w:t>
            </w:r>
          </w:p>
        </w:tc>
        <w:tc>
          <w:tcPr>
            <w:tcW w:w="4836" w:type="dxa"/>
            <w:noWrap w:val="0"/>
            <w:vAlign w:val="top"/>
          </w:tcPr>
          <w:p w14:paraId="244204CC">
            <w:pPr>
              <w:widowControl/>
              <w:jc w:val="left"/>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kern w:val="0"/>
                <w:sz w:val="22"/>
                <w:szCs w:val="22"/>
                <w:highlight w:val="none"/>
              </w:rPr>
              <w:t>1、卫星接收：支持中国BDS2+BDS3：B1I+B1C，只可接收</w:t>
            </w:r>
            <w:r>
              <w:rPr>
                <w:rFonts w:hint="eastAsia" w:ascii="宋体" w:hAnsi="宋体" w:eastAsia="宋体" w:cs="宋体"/>
                <w:color w:val="auto"/>
                <w:kern w:val="0"/>
                <w:sz w:val="22"/>
                <w:szCs w:val="22"/>
                <w:highlight w:val="none"/>
                <w:lang w:val="en-US" w:eastAsia="zh-CN" w:bidi="ar"/>
              </w:rPr>
              <w:t>国产</w:t>
            </w:r>
            <w:r>
              <w:rPr>
                <w:rFonts w:hint="eastAsia" w:ascii="宋体" w:hAnsi="宋体" w:eastAsia="宋体" w:cs="宋体"/>
                <w:color w:val="auto"/>
                <w:kern w:val="0"/>
                <w:sz w:val="22"/>
                <w:szCs w:val="22"/>
                <w:highlight w:val="none"/>
              </w:rPr>
              <w:t>卫星定位工作</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内置专业定位模块≥72 通道</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2、定位类型：单</w:t>
            </w:r>
            <w:r>
              <w:rPr>
                <w:rFonts w:hint="eastAsia" w:ascii="宋体" w:hAnsi="宋体" w:eastAsia="宋体" w:cs="宋体"/>
                <w:color w:val="auto"/>
                <w:kern w:val="0"/>
                <w:sz w:val="22"/>
                <w:szCs w:val="22"/>
                <w:highlight w:val="none"/>
                <w:lang w:val="en-US" w:eastAsia="zh-CN" w:bidi="ar"/>
              </w:rPr>
              <w:t>国产</w:t>
            </w:r>
            <w:r>
              <w:rPr>
                <w:rFonts w:hint="eastAsia" w:ascii="宋体" w:hAnsi="宋体" w:eastAsia="宋体" w:cs="宋体"/>
                <w:color w:val="auto"/>
                <w:kern w:val="0"/>
                <w:sz w:val="22"/>
                <w:szCs w:val="22"/>
                <w:highlight w:val="none"/>
              </w:rPr>
              <w:t>定位模式</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3、天线：内置全向天线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4、操作系统≥</w:t>
            </w:r>
            <w:r>
              <w:rPr>
                <w:rFonts w:hint="eastAsia" w:ascii="宋体" w:hAnsi="宋体" w:eastAsia="宋体" w:cs="宋体"/>
                <w:color w:val="auto"/>
                <w:kern w:val="0"/>
                <w:sz w:val="22"/>
                <w:szCs w:val="22"/>
                <w:highlight w:val="none"/>
                <w:lang w:val="en-US" w:eastAsia="zh-CN" w:bidi="ar"/>
              </w:rPr>
              <w:t>主流最新版操作系统</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5、处理器≥八核2.0 GHz</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6、显示屏≥5.0英寸，分辨率1280*720，触摸屏支持手套，手势操作控制</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7、内存：RAM ≥4GB、ROM≥ 64GB，Micro SD card支持128GB扩展</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8、传输接口：USB 2.0，TYPE-C标准接口，支持2A充电，数据下载,OTG等功能，外置3.5mm耳机接口</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9、坐标转换功能：内置常用的WGS84、北京54、西安80、 CGCS2000国家大地坐标系，同时支持用户自定义坐标；</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10、定位精度：水平≤5m（CEP），垂直≤10m（CEP），速度精度优于0.2m/s（CEP）,SBAS定位精度≤3m（CEP）</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11、传感器：重力感应器、电子罗盘、陀螺仪、光线传感器、加速传感器</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12、电 池：容量≥6000mAh，锂电池待机时间≥72小时，电池可拆卸，支持快速充电，功率10W</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13、防护等级≥IP68，跌落≥1.8米（水泥地面）</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14、功能：机身外侧提供一键报警（SOS）功能按键；一键拍照功能按键；PTT一键呼叫对讲功能按键；</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15、随终端提供终身免费正版授权的地理信息数据采集软件，软件功能要求如下：1、可实现OSM等高线图、高德地图、离线地图等多种地图模式一键切换。2、支持手持端软件中选择固定屏幕模式及自绘区域模式快速制作OSM等高线图、</w:t>
            </w:r>
            <w:r>
              <w:rPr>
                <w:rFonts w:hint="eastAsia" w:ascii="宋体" w:hAnsi="宋体" w:cs="宋体"/>
                <w:color w:val="auto"/>
                <w:kern w:val="0"/>
                <w:sz w:val="22"/>
                <w:szCs w:val="22"/>
                <w:highlight w:val="none"/>
                <w:lang w:val="en-US" w:eastAsia="zh-CN"/>
              </w:rPr>
              <w:t>主流</w:t>
            </w:r>
            <w:r>
              <w:rPr>
                <w:rFonts w:hint="eastAsia" w:ascii="宋体" w:hAnsi="宋体" w:eastAsia="宋体" w:cs="宋体"/>
                <w:color w:val="auto"/>
                <w:kern w:val="0"/>
                <w:sz w:val="22"/>
                <w:szCs w:val="22"/>
                <w:highlight w:val="none"/>
              </w:rPr>
              <w:t>地图等离线地图，并保存到设备上，实现随制随用。</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3、可同界面同时显示WGS84/BJ54/XI`AN 80/CGSC2000/自定义等10种以上坐标系坐标数据，方便操作使用。</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4、经纬度坐标可自主选择保留小数点，最高可达8位，</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5、支持各种数据导入导出，可实现在线数据编辑功能</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6、支持罗盘、气压及行程显示，支持数据明细化显示。</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7、可实现地图网格化、离线栅格图启用加偏算法。</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8、可实现点线面数据的快速测量及回传。</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9、支持mbtiles、gemf等地图的加载。为方便用户使用可自动采点，并且图片有水印功能。</w:t>
            </w:r>
          </w:p>
        </w:tc>
        <w:tc>
          <w:tcPr>
            <w:tcW w:w="709" w:type="dxa"/>
            <w:noWrap w:val="0"/>
            <w:vAlign w:val="center"/>
          </w:tcPr>
          <w:p w14:paraId="4155BC7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2</w:t>
            </w:r>
          </w:p>
        </w:tc>
        <w:tc>
          <w:tcPr>
            <w:tcW w:w="790" w:type="dxa"/>
            <w:noWrap w:val="0"/>
            <w:vAlign w:val="center"/>
          </w:tcPr>
          <w:p w14:paraId="07E79198">
            <w:pPr>
              <w:widowControl w:val="0"/>
              <w:jc w:val="center"/>
              <w:rPr>
                <w:color w:val="auto"/>
                <w:highlight w:val="none"/>
                <w:vertAlign w:val="baseline"/>
              </w:rPr>
            </w:pPr>
            <w:r>
              <w:rPr>
                <w:rFonts w:hint="eastAsia"/>
                <w:color w:val="auto"/>
                <w:highlight w:val="none"/>
                <w:vertAlign w:val="baseline"/>
                <w:lang w:val="en-US" w:eastAsia="zh-CN"/>
              </w:rPr>
              <w:t>台</w:t>
            </w:r>
          </w:p>
        </w:tc>
        <w:tc>
          <w:tcPr>
            <w:tcW w:w="894" w:type="dxa"/>
            <w:noWrap w:val="0"/>
            <w:vAlign w:val="top"/>
          </w:tcPr>
          <w:p w14:paraId="002C8E8B">
            <w:pPr>
              <w:widowControl w:val="0"/>
              <w:jc w:val="center"/>
              <w:rPr>
                <w:color w:val="auto"/>
                <w:highlight w:val="none"/>
                <w:vertAlign w:val="baseline"/>
              </w:rPr>
            </w:pPr>
          </w:p>
        </w:tc>
      </w:tr>
      <w:tr w14:paraId="6535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07006B3E">
            <w:pPr>
              <w:widowControl/>
              <w:jc w:val="center"/>
              <w:textAlignment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18</w:t>
            </w:r>
          </w:p>
        </w:tc>
        <w:tc>
          <w:tcPr>
            <w:tcW w:w="1342" w:type="dxa"/>
            <w:noWrap w:val="0"/>
            <w:vAlign w:val="center"/>
          </w:tcPr>
          <w:p w14:paraId="0A4141BB">
            <w:pPr>
              <w:widowControl/>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树木茎干生长监测仪</w:t>
            </w:r>
          </w:p>
          <w:p w14:paraId="01D21694">
            <w:pPr>
              <w:widowControl/>
              <w:jc w:val="center"/>
              <w:textAlignment w:val="center"/>
              <w:rPr>
                <w:color w:val="auto"/>
                <w:highlight w:val="none"/>
                <w:vertAlign w:val="baseline"/>
              </w:rPr>
            </w:pP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5套</w:t>
            </w:r>
            <w:r>
              <w:rPr>
                <w:rFonts w:hint="eastAsia" w:ascii="宋体" w:hAnsi="宋体" w:eastAsia="宋体" w:cs="宋体"/>
                <w:color w:val="auto"/>
                <w:kern w:val="0"/>
                <w:sz w:val="22"/>
                <w:szCs w:val="22"/>
                <w:highlight w:val="none"/>
                <w:lang w:eastAsia="zh-CN"/>
              </w:rPr>
              <w:t>）</w:t>
            </w:r>
          </w:p>
        </w:tc>
        <w:tc>
          <w:tcPr>
            <w:tcW w:w="4836" w:type="dxa"/>
            <w:noWrap w:val="0"/>
            <w:vAlign w:val="top"/>
          </w:tcPr>
          <w:p w14:paraId="1FA295A2">
            <w:pPr>
              <w:widowControl/>
              <w:jc w:val="left"/>
              <w:textAlignment w:val="top"/>
              <w:rPr>
                <w:rFonts w:hint="eastAsia" w:ascii="宋体" w:hAnsi="宋体" w:eastAsia="宋体" w:cs="宋体"/>
                <w:i w:val="0"/>
                <w:iCs w:val="0"/>
                <w:color w:val="auto"/>
                <w:kern w:val="0"/>
                <w:sz w:val="22"/>
                <w:szCs w:val="22"/>
                <w:highlight w:val="none"/>
                <w:u w:val="none"/>
                <w:lang w:val="en-US" w:eastAsia="zh-CN" w:bidi="ar"/>
              </w:rPr>
            </w:pPr>
            <w:r>
              <w:rPr>
                <w:rStyle w:val="67"/>
                <w:rFonts w:hint="default"/>
                <w:color w:val="auto"/>
                <w:highlight w:val="none"/>
              </w:rPr>
              <w:t>旋转式测量，无损安装固定</w:t>
            </w:r>
            <w:r>
              <w:rPr>
                <w:rStyle w:val="67"/>
                <w:rFonts w:hint="default"/>
                <w:color w:val="auto"/>
                <w:highlight w:val="none"/>
              </w:rPr>
              <w:br w:type="textWrapping"/>
            </w:r>
            <w:r>
              <w:rPr>
                <w:rStyle w:val="67"/>
                <w:rFonts w:hint="default"/>
                <w:color w:val="auto"/>
                <w:highlight w:val="none"/>
              </w:rPr>
              <w:t xml:space="preserve">适用树木：直径＞8cm </w:t>
            </w:r>
            <w:r>
              <w:rPr>
                <w:rStyle w:val="67"/>
                <w:rFonts w:hint="default"/>
                <w:color w:val="auto"/>
                <w:highlight w:val="none"/>
              </w:rPr>
              <w:br w:type="textWrapping"/>
            </w:r>
            <w:r>
              <w:rPr>
                <w:rStyle w:val="67"/>
                <w:rFonts w:hint="default"/>
                <w:color w:val="auto"/>
                <w:highlight w:val="none"/>
              </w:rPr>
              <w:t>测量范围：0-80mm</w:t>
            </w:r>
            <w:r>
              <w:rPr>
                <w:rStyle w:val="67"/>
                <w:rFonts w:hint="default"/>
                <w:color w:val="auto"/>
                <w:highlight w:val="none"/>
              </w:rPr>
              <w:br w:type="textWrapping"/>
            </w:r>
            <w:r>
              <w:rPr>
                <w:rStyle w:val="67"/>
                <w:rFonts w:hint="default"/>
                <w:color w:val="auto"/>
                <w:highlight w:val="none"/>
              </w:rPr>
              <w:t>分辨率：1</w:t>
            </w:r>
            <w:r>
              <w:rPr>
                <w:rStyle w:val="149"/>
                <w:rFonts w:eastAsia="宋体"/>
                <w:color w:val="auto"/>
                <w:highlight w:val="none"/>
              </w:rPr>
              <w:t>μ</w:t>
            </w:r>
            <w:r>
              <w:rPr>
                <w:rStyle w:val="67"/>
                <w:rFonts w:hint="default"/>
                <w:color w:val="auto"/>
                <w:highlight w:val="none"/>
              </w:rPr>
              <w:t>m</w:t>
            </w:r>
            <w:r>
              <w:rPr>
                <w:rStyle w:val="67"/>
                <w:rFonts w:hint="default"/>
                <w:color w:val="auto"/>
                <w:highlight w:val="none"/>
              </w:rPr>
              <w:br w:type="textWrapping"/>
            </w:r>
            <w:r>
              <w:rPr>
                <w:rStyle w:val="67"/>
                <w:rFonts w:hint="default"/>
                <w:color w:val="auto"/>
                <w:highlight w:val="none"/>
              </w:rPr>
              <w:t>作用力：15-20N</w:t>
            </w:r>
            <w:r>
              <w:rPr>
                <w:rStyle w:val="67"/>
                <w:rFonts w:hint="default"/>
                <w:color w:val="auto"/>
                <w:highlight w:val="none"/>
              </w:rPr>
              <w:br w:type="textWrapping"/>
            </w:r>
            <w:r>
              <w:rPr>
                <w:rStyle w:val="67"/>
                <w:rFonts w:hint="default"/>
                <w:color w:val="auto"/>
                <w:highlight w:val="none"/>
              </w:rPr>
              <w:t>响应时间：≤2s</w:t>
            </w:r>
            <w:r>
              <w:rPr>
                <w:rStyle w:val="67"/>
                <w:rFonts w:hint="default"/>
                <w:color w:val="auto"/>
                <w:highlight w:val="none"/>
              </w:rPr>
              <w:br w:type="textWrapping"/>
            </w:r>
            <w:r>
              <w:rPr>
                <w:rStyle w:val="67"/>
                <w:rFonts w:hint="default"/>
                <w:color w:val="auto"/>
                <w:highlight w:val="none"/>
              </w:rPr>
              <w:t xml:space="preserve">采集间隔:30min(默认)可设置 </w:t>
            </w:r>
            <w:r>
              <w:rPr>
                <w:rStyle w:val="67"/>
                <w:rFonts w:hint="default"/>
                <w:color w:val="auto"/>
                <w:highlight w:val="none"/>
              </w:rPr>
              <w:br w:type="textWrapping"/>
            </w:r>
            <w:r>
              <w:rPr>
                <w:rStyle w:val="67"/>
                <w:rFonts w:hint="default"/>
                <w:color w:val="auto"/>
                <w:highlight w:val="none"/>
              </w:rPr>
              <w:t>采集通道:24 个</w:t>
            </w:r>
            <w:r>
              <w:rPr>
                <w:rStyle w:val="67"/>
                <w:rFonts w:hint="default"/>
                <w:color w:val="auto"/>
                <w:highlight w:val="none"/>
              </w:rPr>
              <w:br w:type="textWrapping"/>
            </w:r>
            <w:r>
              <w:rPr>
                <w:rStyle w:val="67"/>
                <w:rFonts w:hint="default"/>
                <w:color w:val="auto"/>
                <w:highlight w:val="none"/>
              </w:rPr>
              <w:t>数据存储:本地 2MB 存储，服务器端 无限量存储</w:t>
            </w:r>
            <w:r>
              <w:rPr>
                <w:rStyle w:val="67"/>
                <w:rFonts w:hint="default"/>
                <w:color w:val="auto"/>
                <w:highlight w:val="none"/>
              </w:rPr>
              <w:br w:type="textWrapping"/>
            </w:r>
            <w:r>
              <w:rPr>
                <w:rStyle w:val="67"/>
                <w:rFonts w:hint="default"/>
                <w:color w:val="auto"/>
                <w:highlight w:val="none"/>
              </w:rPr>
              <w:t>通信接口:USB</w:t>
            </w:r>
            <w:r>
              <w:rPr>
                <w:rStyle w:val="67"/>
                <w:rFonts w:hint="default"/>
                <w:color w:val="auto"/>
                <w:highlight w:val="none"/>
              </w:rPr>
              <w:br w:type="textWrapping"/>
            </w:r>
            <w:r>
              <w:rPr>
                <w:rStyle w:val="67"/>
                <w:rFonts w:hint="default"/>
                <w:color w:val="auto"/>
                <w:highlight w:val="none"/>
              </w:rPr>
              <w:t xml:space="preserve">数据传输:4G 网络传输 </w:t>
            </w:r>
            <w:r>
              <w:rPr>
                <w:rStyle w:val="67"/>
                <w:rFonts w:hint="default"/>
                <w:color w:val="auto"/>
                <w:highlight w:val="none"/>
              </w:rPr>
              <w:br w:type="textWrapping"/>
            </w:r>
            <w:r>
              <w:rPr>
                <w:rStyle w:val="67"/>
                <w:rFonts w:hint="default"/>
                <w:color w:val="auto"/>
                <w:highlight w:val="none"/>
              </w:rPr>
              <w:t>供电方式:电池供电，可工作2年以上</w:t>
            </w:r>
          </w:p>
        </w:tc>
        <w:tc>
          <w:tcPr>
            <w:tcW w:w="709" w:type="dxa"/>
            <w:noWrap w:val="0"/>
            <w:vAlign w:val="center"/>
          </w:tcPr>
          <w:p w14:paraId="6860F46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5</w:t>
            </w:r>
          </w:p>
        </w:tc>
        <w:tc>
          <w:tcPr>
            <w:tcW w:w="790" w:type="dxa"/>
            <w:noWrap w:val="0"/>
            <w:vAlign w:val="center"/>
          </w:tcPr>
          <w:p w14:paraId="0E4C36A8">
            <w:pPr>
              <w:widowControl w:val="0"/>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套</w:t>
            </w:r>
          </w:p>
        </w:tc>
        <w:tc>
          <w:tcPr>
            <w:tcW w:w="894" w:type="dxa"/>
            <w:noWrap w:val="0"/>
            <w:vAlign w:val="top"/>
          </w:tcPr>
          <w:p w14:paraId="1F8AF9E3">
            <w:pPr>
              <w:widowControl w:val="0"/>
              <w:jc w:val="center"/>
              <w:rPr>
                <w:color w:val="auto"/>
                <w:highlight w:val="none"/>
                <w:vertAlign w:val="baseline"/>
              </w:rPr>
            </w:pPr>
          </w:p>
        </w:tc>
      </w:tr>
      <w:tr w14:paraId="2663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729DB527">
            <w:pPr>
              <w:widowControl/>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19</w:t>
            </w:r>
          </w:p>
        </w:tc>
        <w:tc>
          <w:tcPr>
            <w:tcW w:w="1342" w:type="dxa"/>
            <w:noWrap w:val="0"/>
            <w:vAlign w:val="center"/>
          </w:tcPr>
          <w:p w14:paraId="3F667444">
            <w:pPr>
              <w:widowControl/>
              <w:jc w:val="center"/>
              <w:textAlignment w:val="center"/>
              <w:rPr>
                <w:color w:val="auto"/>
                <w:highlight w:val="none"/>
                <w:vertAlign w:val="baseline"/>
              </w:rPr>
            </w:pPr>
            <w:r>
              <w:rPr>
                <w:rFonts w:hint="eastAsia" w:ascii="宋体" w:hAnsi="宋体" w:eastAsia="宋体" w:cs="宋体"/>
                <w:color w:val="auto"/>
                <w:kern w:val="0"/>
                <w:sz w:val="22"/>
                <w:szCs w:val="22"/>
                <w:highlight w:val="none"/>
              </w:rPr>
              <w:t>全站仪</w:t>
            </w:r>
          </w:p>
        </w:tc>
        <w:tc>
          <w:tcPr>
            <w:tcW w:w="4836" w:type="dxa"/>
            <w:noWrap w:val="0"/>
            <w:vAlign w:val="top"/>
          </w:tcPr>
          <w:p w14:paraId="4C7AC057">
            <w:pPr>
              <w:widowControl/>
              <w:jc w:val="left"/>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kern w:val="0"/>
                <w:sz w:val="22"/>
                <w:szCs w:val="22"/>
                <w:highlight w:val="none"/>
              </w:rPr>
              <w:t>1、测角精度：±2″。</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2、测角最小读数：0.1″ /1″ /5″ （可选）。</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3、测角方式：绝对编码。</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4、探测方式：水平盘：对径～ 垂直盘：对径。</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5、测距最小显示：0.1mm / 1mm（可选）。</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6、测距精度：有棱镜±（2+2ppm•D）mm。</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7、免棱镜测程（柯达灰90%反射率）：1000m。</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8、气象修正：温度气压值自动改正。</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9、补偿系统：双轴液体光电式电子补偿器（补偿范围：±4′、±6′ 可选，分辨率：1″），可电子校正。</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10、按键：单面27键×2，侧面有一键式测量快捷键。</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11、电子气泡：图形显示，能够显示电子气泡和X-Y轴补偿值。</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12、屏幕类型：TFT液晶屏，分辨率：800*480，屏幕尺寸：4.0英寸×2。</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13、操作系统：</w:t>
            </w:r>
            <w:r>
              <w:rPr>
                <w:rFonts w:hint="eastAsia" w:ascii="宋体" w:hAnsi="宋体" w:eastAsia="宋体" w:cs="宋体"/>
                <w:color w:val="auto"/>
                <w:kern w:val="0"/>
                <w:sz w:val="22"/>
                <w:szCs w:val="22"/>
                <w:highlight w:val="none"/>
                <w:lang w:val="en-US" w:eastAsia="zh-CN" w:bidi="ar"/>
              </w:rPr>
              <w:t>主流操作系统</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14、内存：运行内存（RAM）4GB，机身内存（ROM）64GB。</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15、导向光：支持导向光，≥150m。</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16、激光测高：支持激光测高。</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17、网络：4G全网通，可用作电话短信通讯等手机功能；WLAN：2.4G WiFi。</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18、内置蓝牙，支持蓝牙传数据，可通过手机客户端与全站仪进行数据交互，实时通讯。</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19、投屏显示：仪器能够与电脑连接做到界面同步操作。</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20、数据通讯接口：支持SD卡、U盘、USB Type-C接口。</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测绘之星软件（标配软件）：</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1、导线平差：具备导线测量及导线平差功能，能实现各等级导线观测记录及精度判断，可以导出原始测量表数据或平差结果数据。</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2、数据导入导出：可导入*.txt/*.dat点数据格式文件。可导出原始数据、边角数据、坐标数据（导出格式为*.txt/*.dxf/*.dat/*.csv）。</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3、具备参考线和参考弧放样功能。并具有放样罗盘指针显示，并显示放样偏差值。</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4、支持*.dwg/*.dxf格式数据导入，实现CAD放样功能。CAD放样能够在图上选中独立点及线上点直接放样，支持背景色调整、炸开实体、线地物逐桩放样、间隔放样、偏距放样等。且可将图上的放样点坐标值提取到测绘之星数据库中。</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5、具备道路设计和放样功能，支持导入工程之星道路格式文件以及*.xlsx格式道路文件。</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6、具备实体按键，按键可自定义快捷功能。</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7、第三方软件：可支持安装第三方测量软件，例如MSMT，管网之星等第三方软件。</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8、建站方式：支持任意建站和免控建站。</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9、测量：多种测量方法，包括：平面偏心、距离偏心、圆柱中心点、对边测量、线和延长点、线和角点测量、悬高测量。</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10、可在线加载二维地图、导入*.map/*.mbtiles两种离线底图或*.kml/*.kmz/*.shp/*.dwg/*.tif/*.tiff/*.dxf多种格式图形数据文件，可在地图中显示测量点和测站点。</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11、内置计算器：坐标正反算、面积周长计算、夹角换算、求平均值、计算等距点、三角形计算等计算器功能。</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12、可提供二次开发接口，定制程序功能。</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13、软件在线更新：联网自动提醒软件更新，一键更新并保留原有的工程文件。</w:t>
            </w:r>
          </w:p>
        </w:tc>
        <w:tc>
          <w:tcPr>
            <w:tcW w:w="709" w:type="dxa"/>
            <w:noWrap w:val="0"/>
            <w:vAlign w:val="center"/>
          </w:tcPr>
          <w:p w14:paraId="538BE998">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w:t>
            </w:r>
          </w:p>
        </w:tc>
        <w:tc>
          <w:tcPr>
            <w:tcW w:w="790" w:type="dxa"/>
            <w:noWrap w:val="0"/>
            <w:vAlign w:val="center"/>
          </w:tcPr>
          <w:p w14:paraId="3C1383A1">
            <w:pPr>
              <w:widowControl w:val="0"/>
              <w:jc w:val="center"/>
              <w:rPr>
                <w:color w:val="auto"/>
                <w:highlight w:val="none"/>
                <w:vertAlign w:val="baseline"/>
              </w:rPr>
            </w:pPr>
            <w:r>
              <w:rPr>
                <w:rFonts w:hint="eastAsia"/>
                <w:color w:val="auto"/>
                <w:highlight w:val="none"/>
                <w:vertAlign w:val="baseline"/>
                <w:lang w:val="en-US" w:eastAsia="zh-CN"/>
              </w:rPr>
              <w:t>台</w:t>
            </w:r>
          </w:p>
        </w:tc>
        <w:tc>
          <w:tcPr>
            <w:tcW w:w="894" w:type="dxa"/>
            <w:noWrap w:val="0"/>
            <w:vAlign w:val="top"/>
          </w:tcPr>
          <w:p w14:paraId="03CF0A13">
            <w:pPr>
              <w:widowControl w:val="0"/>
              <w:jc w:val="center"/>
              <w:rPr>
                <w:color w:val="auto"/>
                <w:highlight w:val="none"/>
                <w:vertAlign w:val="baseline"/>
              </w:rPr>
            </w:pPr>
          </w:p>
        </w:tc>
      </w:tr>
      <w:tr w14:paraId="2107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3E8600C9">
            <w:pPr>
              <w:widowControl/>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20</w:t>
            </w:r>
          </w:p>
        </w:tc>
        <w:tc>
          <w:tcPr>
            <w:tcW w:w="1342" w:type="dxa"/>
            <w:noWrap w:val="0"/>
            <w:vAlign w:val="center"/>
          </w:tcPr>
          <w:p w14:paraId="045AEEFD">
            <w:pPr>
              <w:widowControl/>
              <w:jc w:val="center"/>
              <w:textAlignment w:val="center"/>
              <w:rPr>
                <w:color w:val="auto"/>
                <w:highlight w:val="none"/>
                <w:vertAlign w:val="baseline"/>
              </w:rPr>
            </w:pPr>
            <w:r>
              <w:rPr>
                <w:rFonts w:hint="eastAsia" w:ascii="宋体" w:hAnsi="宋体" w:eastAsia="宋体" w:cs="宋体"/>
                <w:color w:val="auto"/>
                <w:kern w:val="0"/>
                <w:sz w:val="22"/>
                <w:szCs w:val="22"/>
                <w:highlight w:val="none"/>
              </w:rPr>
              <w:t>植物物候自动测量系统</w:t>
            </w:r>
          </w:p>
        </w:tc>
        <w:tc>
          <w:tcPr>
            <w:tcW w:w="4836" w:type="dxa"/>
            <w:noWrap w:val="0"/>
            <w:vAlign w:val="top"/>
          </w:tcPr>
          <w:p w14:paraId="1BA6E6C1">
            <w:pPr>
              <w:widowControl/>
              <w:jc w:val="left"/>
              <w:textAlignment w:val="top"/>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kern w:val="0"/>
                <w:sz w:val="22"/>
                <w:szCs w:val="22"/>
                <w:highlight w:val="none"/>
              </w:rPr>
              <w:t>1、多光谱物候相机参数</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1.1波段范围</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五波段：红、绿、蓝真彩色，窄波段：红(峰值波长 650±10nm) 、近红外(峰值波长 850±10nm)</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1.2传感器类型</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感光芯片，CMOS镜头，标配500万像素；焦距：20倍变焦 4.7</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93mm变焦镜头；云台：水平0°</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350°，垂直0°～90°；</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1.3图像储存：64G内存（可扩充到128G）</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1.4图像输出：5MP/500万～(2592*1944)</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1.5测量模式：无人值守全自动，可定时采集，定时传输</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1.6输出图像：三种图像输出（RGB图像，NDVI图像，NIR图像）</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1.7采集方式：可远程视频实时观测植被生长，并通过远程控制实时采集和自定义采集频率进行采集</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1.8边缘计算：内置边缘计算模块，提供网络与实时图像处理</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1.9可测指数：可直接输出GCC,RCC,BCC,红绿指数，NDVI等。</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1.10传输方式：FTP和HTTP传输（图像和计算数值远程上传服务器）</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1.11软件部分：另提供配套的物候相机图片处理软件（客户可根据需求计算所需的各种物候指数和植被指数等）</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1.12网络制式：支持有线、WIFI 、4G网络，支持IP地址：动态IP地址/静态IP，支持协议：GB28181协议或RS485；</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 xml:space="preserve">1.13功耗模式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休眠功耗：180mA（≤0.9W）；工作期间功耗900</w:t>
            </w:r>
            <w:ins w:id="24" w:author="[嘿哈]" w:date="2025-06-23T18:38:00Z">
              <w:r>
                <w:rPr>
                  <w:rFonts w:hint="eastAsia" w:ascii="宋体" w:hAnsi="宋体" w:eastAsia="宋体" w:cs="宋体"/>
                  <w:color w:val="auto"/>
                  <w:kern w:val="0"/>
                  <w:sz w:val="22"/>
                  <w:szCs w:val="22"/>
                  <w:highlight w:val="none"/>
                </w:rPr>
                <w:t>～</w:t>
              </w:r>
            </w:ins>
            <w:r>
              <w:rPr>
                <w:rFonts w:hint="eastAsia" w:ascii="宋体" w:hAnsi="宋体" w:eastAsia="宋体" w:cs="宋体"/>
                <w:color w:val="auto"/>
                <w:kern w:val="0"/>
                <w:sz w:val="22"/>
                <w:szCs w:val="22"/>
                <w:highlight w:val="none"/>
              </w:rPr>
              <w:t>1400 mA（≤4.5W）；</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1.14工作环境温度：-40℃～60℃；</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1.15防尘防水等级：≥IP66，允许湿度范围：0% RH～100% RH；</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2、智能数采参数</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2.1本智能数采是一款工业物联网设备，内置多种计算模型，实时计算植被参数。全线兼容气象、土壤、物候相机、光谱仪、激光雷达等多种设备数据处理并传输。具备工业级防护、宽温、宽电压设计，可轻松组建高速、稳定的无线传输网络，实现数据透明传输和边缘计算等功能。</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2.2采用高性能工业级32位通信处理器和工业级通信模块,</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2.3支持3G/4G/5G</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2.4同时提供1个RS232/485、4个以太网LAN口，1个以太网WAN口以及WIFI接口等接口.标准RJ45(以太网)接口</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2.5宽电压电流输入：DC5-37V/1A；超高压自动断电保护</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2.5联网断线自动检测，拨号失败自动重启，定时重启等功能</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2.7GPS定位功能</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3、系统配置要求</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多光谱物候相机2个，防护箱2个，安装支架2个，太阳能供电系统2套,含三年流量和云平台使用。</w:t>
            </w:r>
          </w:p>
        </w:tc>
        <w:tc>
          <w:tcPr>
            <w:tcW w:w="709" w:type="dxa"/>
            <w:noWrap w:val="0"/>
            <w:vAlign w:val="center"/>
          </w:tcPr>
          <w:p w14:paraId="6799E76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w:t>
            </w:r>
          </w:p>
        </w:tc>
        <w:tc>
          <w:tcPr>
            <w:tcW w:w="790" w:type="dxa"/>
            <w:noWrap w:val="0"/>
            <w:vAlign w:val="center"/>
          </w:tcPr>
          <w:p w14:paraId="6C2D576C">
            <w:pPr>
              <w:widowControl w:val="0"/>
              <w:jc w:val="center"/>
              <w:rPr>
                <w:color w:val="auto"/>
                <w:highlight w:val="none"/>
                <w:vertAlign w:val="baseline"/>
              </w:rPr>
            </w:pPr>
            <w:r>
              <w:rPr>
                <w:rFonts w:hint="eastAsia"/>
                <w:color w:val="auto"/>
                <w:highlight w:val="none"/>
                <w:vertAlign w:val="baseline"/>
                <w:lang w:val="en-US" w:eastAsia="zh-CN"/>
              </w:rPr>
              <w:t>台</w:t>
            </w:r>
          </w:p>
        </w:tc>
        <w:tc>
          <w:tcPr>
            <w:tcW w:w="894" w:type="dxa"/>
            <w:noWrap w:val="0"/>
            <w:vAlign w:val="top"/>
          </w:tcPr>
          <w:p w14:paraId="0F9A65DD">
            <w:pPr>
              <w:widowControl w:val="0"/>
              <w:jc w:val="center"/>
              <w:rPr>
                <w:color w:val="auto"/>
                <w:highlight w:val="none"/>
                <w:vertAlign w:val="baseline"/>
              </w:rPr>
            </w:pPr>
          </w:p>
        </w:tc>
      </w:tr>
      <w:tr w14:paraId="0FF3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2E84D14C">
            <w:pPr>
              <w:widowControl/>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21</w:t>
            </w:r>
          </w:p>
        </w:tc>
        <w:tc>
          <w:tcPr>
            <w:tcW w:w="1342" w:type="dxa"/>
            <w:noWrap w:val="0"/>
            <w:vAlign w:val="center"/>
          </w:tcPr>
          <w:p w14:paraId="1FB1009C">
            <w:pPr>
              <w:widowControl/>
              <w:jc w:val="center"/>
              <w:textAlignment w:val="center"/>
              <w:rPr>
                <w:color w:val="auto"/>
                <w:highlight w:val="none"/>
                <w:vertAlign w:val="baseline"/>
              </w:rPr>
            </w:pPr>
            <w:r>
              <w:rPr>
                <w:rFonts w:hint="eastAsia" w:ascii="宋体" w:hAnsi="宋体" w:eastAsia="宋体" w:cs="宋体"/>
                <w:b/>
                <w:bCs/>
                <w:color w:val="auto"/>
                <w:kern w:val="0"/>
                <w:sz w:val="22"/>
                <w:szCs w:val="22"/>
                <w:highlight w:val="none"/>
              </w:rPr>
              <w:t>机载雷达</w:t>
            </w:r>
            <w:r>
              <w:rPr>
                <w:rFonts w:hint="eastAsia" w:ascii="宋体" w:hAnsi="宋体" w:cs="宋体"/>
                <w:b/>
                <w:bCs/>
                <w:color w:val="auto"/>
                <w:kern w:val="0"/>
                <w:sz w:val="22"/>
                <w:szCs w:val="22"/>
                <w:highlight w:val="none"/>
                <w:lang w:eastAsia="zh-CN"/>
              </w:rPr>
              <w:t>（</w:t>
            </w:r>
            <w:r>
              <w:rPr>
                <w:rFonts w:hint="eastAsia"/>
                <w:b/>
                <w:bCs/>
                <w:color w:val="auto"/>
                <w:highlight w:val="none"/>
              </w:rPr>
              <w:t>核心产品</w:t>
            </w:r>
            <w:r>
              <w:rPr>
                <w:rFonts w:hint="eastAsia" w:ascii="宋体" w:hAnsi="宋体" w:cs="宋体"/>
                <w:b/>
                <w:bCs/>
                <w:color w:val="auto"/>
                <w:kern w:val="0"/>
                <w:sz w:val="22"/>
                <w:szCs w:val="22"/>
                <w:highlight w:val="none"/>
                <w:lang w:eastAsia="zh-CN"/>
              </w:rPr>
              <w:t>）</w:t>
            </w:r>
          </w:p>
        </w:tc>
        <w:tc>
          <w:tcPr>
            <w:tcW w:w="4836" w:type="dxa"/>
            <w:noWrap w:val="0"/>
            <w:vAlign w:val="top"/>
          </w:tcPr>
          <w:p w14:paraId="6E2DF8B2">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（一）系统参数</w:t>
            </w:r>
          </w:p>
          <w:p w14:paraId="303ABBAB">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1、绝对精度：≤5cm；</w:t>
            </w:r>
          </w:p>
          <w:p w14:paraId="1DB90ABF">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2、系统防护性能：系统主机防水防尘等级≥IP64；</w:t>
            </w:r>
          </w:p>
          <w:p w14:paraId="7A3FA56F">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3、支持通过多旋翼飞机遥控器直接设置激光雷达扫描频率、线扫速度、扫描角度；多旋翼起飞前自动进行激光器各项指标自检（GPS自检、惯导自检、存储自检、电机自检、激光器自检、测距自检），若自检异常进行可视化提醒；多旋翼起飞降落无需单独手持端或者电脑端控制激光器的开启关闭，均为遥控器自动化控制；</w:t>
            </w:r>
          </w:p>
          <w:p w14:paraId="30B1F8AA">
            <w:pPr>
              <w:widowControl w:val="0"/>
              <w:jc w:val="both"/>
              <w:rPr>
                <w:rFonts w:hint="default" w:ascii="宋体" w:hAnsi="宋体" w:eastAsia="宋体"/>
                <w:color w:val="auto"/>
                <w:sz w:val="22"/>
                <w:highlight w:val="none"/>
                <w:lang w:val="en-US"/>
              </w:rPr>
            </w:pPr>
            <w:r>
              <w:rPr>
                <w:rFonts w:hint="eastAsia" w:ascii="宋体" w:hAnsi="宋体" w:eastAsia="宋体"/>
                <w:color w:val="auto"/>
                <w:sz w:val="22"/>
                <w:highlight w:val="none"/>
              </w:rPr>
              <w:t>4、为保证整体可靠性，激光扫描头、无人机和软件需</w:t>
            </w:r>
            <w:r>
              <w:rPr>
                <w:rFonts w:hint="eastAsia" w:ascii="宋体" w:hAnsi="宋体"/>
                <w:color w:val="auto"/>
                <w:sz w:val="22"/>
                <w:highlight w:val="none"/>
                <w:lang w:val="en-US" w:eastAsia="zh-CN"/>
              </w:rPr>
              <w:t>要兼容</w:t>
            </w:r>
          </w:p>
          <w:p w14:paraId="266A62C2">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5、激光雷达支持挂载第三方无人机平台</w:t>
            </w:r>
          </w:p>
          <w:p w14:paraId="4E86ABF1">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（二）激光扫描仪部分</w:t>
            </w:r>
          </w:p>
          <w:p w14:paraId="1263CD98">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1、激光类型：脉冲式</w:t>
            </w:r>
          </w:p>
          <w:p w14:paraId="45FEC508">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2、扫描测程：≥1800m</w:t>
            </w:r>
          </w:p>
          <w:p w14:paraId="252A8611">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3、最大测量速率：≥200万点/秒</w:t>
            </w:r>
          </w:p>
          <w:p w14:paraId="5BED4CA6">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4、扫描速度：≥400线/秒</w:t>
            </w:r>
          </w:p>
          <w:p w14:paraId="5EFDC7C3">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5、多目标探测：无限次回波（大于16次）</w:t>
            </w:r>
          </w:p>
          <w:p w14:paraId="4AF689E5">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6、视场角：≥100°</w:t>
            </w:r>
          </w:p>
          <w:p w14:paraId="2A48CFC0">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7、主机重量：≤2kg；</w:t>
            </w:r>
          </w:p>
          <w:p w14:paraId="0341BFE9">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（三）定姿定位系统部分</w:t>
            </w:r>
          </w:p>
          <w:p w14:paraId="20F9A4CC">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1、支持五星系统数据</w:t>
            </w:r>
          </w:p>
          <w:p w14:paraId="0A75633F">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2、数据更新率：≥600Hz；</w:t>
            </w:r>
          </w:p>
          <w:p w14:paraId="67220E09">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3、后处理位置精度：水平≤0.01m、高程≤0.02m；</w:t>
            </w:r>
          </w:p>
          <w:p w14:paraId="3EA9133E">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4、后处理姿态精度：Roll/Pitch≤0.005°、Heading≤0.01°；</w:t>
            </w:r>
          </w:p>
          <w:p w14:paraId="09064144">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（四）正射相机</w:t>
            </w:r>
          </w:p>
          <w:p w14:paraId="2360B826">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1、正射相机与激光雷达一体化集成</w:t>
            </w:r>
          </w:p>
          <w:p w14:paraId="5C2C5B55">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2、有效像素：≥ 4500万</w:t>
            </w:r>
          </w:p>
          <w:p w14:paraId="01AE1E0E">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3、焦距：≤18mm</w:t>
            </w:r>
          </w:p>
          <w:p w14:paraId="6D6C8124">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4、重量：≤220g</w:t>
            </w:r>
          </w:p>
          <w:p w14:paraId="651EE8F4">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（五）四旋翼无人机</w:t>
            </w:r>
          </w:p>
          <w:p w14:paraId="73FC08BF">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1旋翼数：≤4</w:t>
            </w:r>
          </w:p>
          <w:p w14:paraId="77C59C5E">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2、对称电机轴距：≤1200mm</w:t>
            </w:r>
          </w:p>
          <w:p w14:paraId="62D8F79C">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3、外形尺寸（折叠，包含桨叶）：≤560*500*240mm</w:t>
            </w:r>
          </w:p>
          <w:p w14:paraId="526753BE">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4、最大起飞重量：≥16kg</w:t>
            </w:r>
          </w:p>
          <w:p w14:paraId="7546480B">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5、最大额外负载：≥3.5kg</w:t>
            </w:r>
          </w:p>
          <w:p w14:paraId="5F1E6F98">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6、RTK模式下飞行器悬停精度满足：垂直≤±0.1 m;水平≤±0.2 m</w:t>
            </w:r>
          </w:p>
          <w:p w14:paraId="1FCA3A8A">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7、最大水平飞行速度:≥18 m/s</w:t>
            </w:r>
          </w:p>
          <w:p w14:paraId="0D3FF859">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8、最大飞行海拔高度:≥5000m</w:t>
            </w:r>
          </w:p>
          <w:p w14:paraId="56344B51">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9、最大可承受风速：7级风</w:t>
            </w:r>
          </w:p>
          <w:p w14:paraId="5363DF0C">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10、续航时间：≥85min@空载，≥65min@2kg载荷</w:t>
            </w:r>
          </w:p>
          <w:p w14:paraId="5329E7AE">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11、工作环境温度：-20°C 至 50° C</w:t>
            </w:r>
          </w:p>
          <w:p w14:paraId="4ED0458E">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12、展开时间：从携行状态到起飞状态的展开时间≤3min</w:t>
            </w:r>
          </w:p>
          <w:p w14:paraId="4FD32A32">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13、无人机防护等级：具备IP45防护等级</w:t>
            </w:r>
          </w:p>
          <w:p w14:paraId="50DA4D11">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14、最大信号有效距离（无干扰、无遮挡） ：不小于15 km</w:t>
            </w:r>
          </w:p>
          <w:p w14:paraId="47CA1973">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15、图传分辨率：支持1080p高清图传</w:t>
            </w:r>
          </w:p>
          <w:p w14:paraId="2DE8AF36">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16、电池箱：电池箱应具备多个电池接口，可为最多6块飞行器电池进行充电</w:t>
            </w:r>
          </w:p>
          <w:p w14:paraId="2A433486">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17、智能电池：支持电量显示、温度补偿、一键开机；</w:t>
            </w:r>
          </w:p>
          <w:p w14:paraId="2EA114A5">
            <w:pPr>
              <w:pStyle w:val="16"/>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18、地面站：地面站软件与飞机</w:t>
            </w:r>
            <w:r>
              <w:rPr>
                <w:rFonts w:hint="eastAsia" w:ascii="宋体" w:hAnsi="宋体" w:eastAsia="宋体"/>
                <w:color w:val="auto"/>
                <w:sz w:val="22"/>
                <w:highlight w:val="none"/>
                <w:lang w:val="en-US" w:eastAsia="zh-CN"/>
              </w:rPr>
              <w:t>需要兼容</w:t>
            </w:r>
            <w:r>
              <w:rPr>
                <w:rFonts w:hint="eastAsia" w:ascii="宋体" w:hAnsi="宋体" w:eastAsia="宋体"/>
                <w:color w:val="auto"/>
                <w:sz w:val="22"/>
                <w:highlight w:val="none"/>
              </w:rPr>
              <w:t>，集成在遥控器端，无需通过电脑控制飞机，同时支持航线和雷达参数设置且可以实时监控激光数据记录大小、GPS和IMU状态。</w:t>
            </w:r>
          </w:p>
          <w:p w14:paraId="73A896B3">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19、云监控模块：提供云监控系统，可以监控当前正在飞行架次的详情，可统计历史飞行架次、里程、面积、时长，提供单个飞机的历史相关数据查询，支持工程分享、同步、汇总查询功能。地面站软件支持同步飞行日志到云平台</w:t>
            </w:r>
          </w:p>
          <w:p w14:paraId="79BDF815">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20、配备飞机和激光一体化收纳箱，方便作业。</w:t>
            </w:r>
          </w:p>
          <w:p w14:paraId="756D57F6">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 xml:space="preserve">21、遥控器：和飞机同一厂家研发，屏幕≥7英寸，分辨率≥1920*1200, 支持三频天线，续航时间≥6h。 </w:t>
            </w:r>
          </w:p>
          <w:p w14:paraId="0FF656D9">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（六）激光点云综合处理软件</w:t>
            </w:r>
          </w:p>
          <w:p w14:paraId="68B30726">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1、国产软件，与激光雷达硬件</w:t>
            </w:r>
            <w:r>
              <w:rPr>
                <w:rFonts w:hint="eastAsia" w:ascii="宋体" w:hAnsi="宋体"/>
                <w:color w:val="auto"/>
                <w:sz w:val="22"/>
                <w:highlight w:val="none"/>
                <w:lang w:val="en-US" w:eastAsia="zh-CN"/>
              </w:rPr>
              <w:t>需要兼容</w:t>
            </w:r>
            <w:r>
              <w:rPr>
                <w:rFonts w:hint="eastAsia" w:ascii="宋体" w:hAnsi="宋体" w:eastAsia="宋体"/>
                <w:color w:val="auto"/>
                <w:sz w:val="22"/>
                <w:highlight w:val="none"/>
              </w:rPr>
              <w:t>。</w:t>
            </w:r>
          </w:p>
          <w:p w14:paraId="4DD9B318">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2、提供点云的单点、多点、距离、面积、密度和角度量测工具</w:t>
            </w:r>
          </w:p>
          <w:p w14:paraId="7D6AF52A">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3、提供多种点云渲染方式，包括但不限于高程、强度、类别、真彩色、时间、回波序号、回波次数等，支持用户自定义赋色色带，可通过EDL特效进一步增强渲染效果</w:t>
            </w:r>
          </w:p>
          <w:p w14:paraId="461089BB">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4、可提供TCP/IP协议，支持数据二次开发</w:t>
            </w:r>
          </w:p>
          <w:p w14:paraId="07FBAC18">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5、以下模块在同一软件平台内实现</w:t>
            </w:r>
          </w:p>
          <w:p w14:paraId="745DD705">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①移动测量预处理模块</w:t>
            </w:r>
          </w:p>
          <w:p w14:paraId="5A0B0D40">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1、支持基于IMU、GNSS数据的一键式数据解算，生成高精度POS数据；支持一次性导入多架次数据，实现多架次数据同步解算</w:t>
            </w:r>
          </w:p>
          <w:p w14:paraId="38C5E6DC">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2、支持点云数据的一键融合及赋色</w:t>
            </w:r>
          </w:p>
          <w:p w14:paraId="0F9B99AB">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3、支持四参数、高程拟合、七参数等多种方式对点云进行坐标转换</w:t>
            </w:r>
          </w:p>
          <w:p w14:paraId="654EC5FF">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4、提供多种航带划分工具，包括但不限于画刷选择、多边形选择、时间选择等</w:t>
            </w:r>
          </w:p>
          <w:p w14:paraId="752F26D0">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5、支持手动调整系统安置角，支持实时查看误差纠正后的点云效果，航带平差</w:t>
            </w:r>
          </w:p>
          <w:p w14:paraId="073404FB">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6、支持多维度数据质检，包括pos精度、航迹长度、航迹分布、点云密度、点云绝对精度，可分别输出质检报告</w:t>
            </w:r>
          </w:p>
          <w:p w14:paraId="1ED8B3FA">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7、含空三加密、正射影像生产和三维建模等影像重建功能</w:t>
            </w:r>
          </w:p>
          <w:p w14:paraId="76BCD632">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②架站测量预处理模块</w:t>
            </w:r>
          </w:p>
          <w:p w14:paraId="1D445F7C">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1、支持las、e57、xyz等格式点云导出，导出前支持对点云的裁剪、抽稀；支持单站导出、多站导出、多站合并导出</w:t>
            </w:r>
          </w:p>
          <w:p w14:paraId="6E312450">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2、利用相机拍摄的彩色照片自动为扫描点云着色</w:t>
            </w:r>
          </w:p>
          <w:p w14:paraId="605C1007">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3、可手动识别标靶球，对标靶球的球心进行拟合</w:t>
            </w:r>
          </w:p>
          <w:p w14:paraId="1ED63FC3">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4、支持点云配准，包括自动配准、手动配准、点对配准</w:t>
            </w:r>
          </w:p>
          <w:p w14:paraId="05527952">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5、针对配准结果可以输出拼接报告</w:t>
            </w:r>
          </w:p>
          <w:p w14:paraId="4A56ED61">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6、支持靶球坐标的应用、及目标点坐标的批量导入</w:t>
            </w:r>
          </w:p>
          <w:p w14:paraId="1A755AE5">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7、支持对点云进行单点、多点、坡度、面积、体积等多方位测量，支持点云数据构网建模进行体积测量</w:t>
            </w:r>
          </w:p>
          <w:p w14:paraId="31D2273B">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③数据综合处理模块</w:t>
            </w:r>
          </w:p>
          <w:p w14:paraId="656DC788">
            <w:pPr>
              <w:widowControl w:val="0"/>
              <w:jc w:val="both"/>
              <w:rPr>
                <w:ins w:id="25" w:author="Andy" w:date="2025-06-23T01:29:25Z"/>
                <w:rFonts w:hint="eastAsia" w:ascii="宋体" w:hAnsi="宋体" w:eastAsia="宋体"/>
                <w:color w:val="auto"/>
                <w:sz w:val="22"/>
                <w:highlight w:val="none"/>
              </w:rPr>
            </w:pPr>
            <w:r>
              <w:rPr>
                <w:rFonts w:hint="eastAsia" w:ascii="宋体" w:hAnsi="宋体" w:eastAsia="宋体"/>
                <w:color w:val="auto"/>
                <w:sz w:val="22"/>
                <w:highlight w:val="none"/>
              </w:rPr>
              <w:t>1、支持免平台安装，一次安装自动激活</w:t>
            </w:r>
            <w:r>
              <w:rPr>
                <w:rFonts w:hint="eastAsia" w:ascii="宋体" w:hAnsi="宋体" w:eastAsia="宋体"/>
                <w:color w:val="auto"/>
                <w:sz w:val="22"/>
                <w:highlight w:val="none"/>
                <w:lang w:val="en-US" w:eastAsia="zh-CN"/>
              </w:rPr>
              <w:t>CAD</w:t>
            </w:r>
          </w:p>
          <w:p w14:paraId="321F2D2A">
            <w:pPr>
              <w:widowControl w:val="0"/>
              <w:jc w:val="both"/>
              <w:rPr>
                <w:rFonts w:hint="eastAsia" w:ascii="宋体" w:hAnsi="宋体" w:eastAsia="宋体"/>
                <w:color w:val="auto"/>
                <w:sz w:val="22"/>
                <w:highlight w:val="none"/>
                <w:lang w:eastAsia="zh-CN"/>
              </w:rPr>
            </w:pPr>
            <w:r>
              <w:rPr>
                <w:rFonts w:hint="eastAsia" w:ascii="宋体" w:hAnsi="宋体" w:eastAsia="宋体"/>
                <w:color w:val="auto"/>
                <w:sz w:val="22"/>
                <w:highlight w:val="none"/>
              </w:rPr>
              <w:t>，体积小，轻量化，运行稳定</w:t>
            </w:r>
            <w:r>
              <w:rPr>
                <w:rFonts w:hint="eastAsia" w:ascii="宋体" w:hAnsi="宋体" w:eastAsia="宋体"/>
                <w:color w:val="auto"/>
                <w:sz w:val="22"/>
                <w:highlight w:val="none"/>
                <w:lang w:eastAsia="zh-CN"/>
              </w:rPr>
              <w:t>；</w:t>
            </w:r>
          </w:p>
          <w:p w14:paraId="577CEF88">
            <w:pPr>
              <w:widowControl w:val="0"/>
              <w:jc w:val="both"/>
              <w:rPr>
                <w:rFonts w:hint="eastAsia" w:ascii="宋体" w:hAnsi="宋体" w:eastAsia="宋体"/>
                <w:color w:val="auto"/>
                <w:sz w:val="22"/>
                <w:highlight w:val="none"/>
                <w:lang w:eastAsia="zh-CN"/>
              </w:rPr>
            </w:pPr>
            <w:r>
              <w:rPr>
                <w:rFonts w:hint="eastAsia" w:ascii="宋体" w:hAnsi="宋体" w:eastAsia="宋体"/>
                <w:color w:val="auto"/>
                <w:sz w:val="22"/>
                <w:highlight w:val="none"/>
              </w:rPr>
              <w:t>2、支持dat、txt、csv、xls、xlsx多种坐标文件格式</w:t>
            </w:r>
            <w:r>
              <w:rPr>
                <w:rFonts w:hint="eastAsia" w:ascii="宋体" w:hAnsi="宋体" w:eastAsia="宋体"/>
                <w:color w:val="auto"/>
                <w:sz w:val="22"/>
                <w:highlight w:val="none"/>
                <w:lang w:eastAsia="zh-CN"/>
              </w:rPr>
              <w:t>；</w:t>
            </w:r>
          </w:p>
          <w:p w14:paraId="2777D5C2">
            <w:pPr>
              <w:widowControl w:val="0"/>
              <w:jc w:val="both"/>
              <w:rPr>
                <w:rFonts w:hint="eastAsia" w:ascii="宋体" w:hAnsi="宋体" w:eastAsia="宋体"/>
                <w:color w:val="auto"/>
                <w:sz w:val="22"/>
                <w:highlight w:val="none"/>
                <w:lang w:eastAsia="zh-CN"/>
              </w:rPr>
            </w:pPr>
            <w:r>
              <w:rPr>
                <w:rFonts w:hint="eastAsia" w:ascii="宋体" w:hAnsi="宋体" w:eastAsia="宋体"/>
                <w:color w:val="auto"/>
                <w:sz w:val="22"/>
                <w:highlight w:val="none"/>
              </w:rPr>
              <w:t>3、支持矢量数据：DWG、MDB、Shapefile、DXF等；正射影像：TIF、IMG、JPG等；三维模型：OSGB等</w:t>
            </w:r>
            <w:r>
              <w:rPr>
                <w:rFonts w:hint="eastAsia" w:ascii="宋体" w:hAnsi="宋体" w:eastAsia="宋体"/>
                <w:color w:val="auto"/>
                <w:sz w:val="22"/>
                <w:highlight w:val="none"/>
                <w:lang w:eastAsia="zh-CN"/>
              </w:rPr>
              <w:t>；</w:t>
            </w:r>
          </w:p>
          <w:p w14:paraId="635C87B1">
            <w:pPr>
              <w:widowControl w:val="0"/>
              <w:jc w:val="both"/>
              <w:rPr>
                <w:rFonts w:hint="eastAsia" w:ascii="宋体" w:hAnsi="宋体" w:eastAsia="宋体"/>
                <w:color w:val="auto"/>
                <w:sz w:val="22"/>
                <w:highlight w:val="none"/>
                <w:lang w:eastAsia="zh-CN"/>
              </w:rPr>
            </w:pPr>
            <w:r>
              <w:rPr>
                <w:rFonts w:hint="eastAsia" w:ascii="宋体" w:hAnsi="宋体" w:eastAsia="宋体"/>
                <w:color w:val="auto"/>
                <w:sz w:val="22"/>
                <w:highlight w:val="none"/>
              </w:rPr>
              <w:t>4、能够读取智能全站仪外业gpkg数据直接成图；读取云平台工程数据成图；支持读取*.cas/*.sou格式交换文件成图；对野外测量数据进行展点处理成图</w:t>
            </w:r>
            <w:r>
              <w:rPr>
                <w:rFonts w:hint="eastAsia" w:ascii="宋体" w:hAnsi="宋体" w:eastAsia="宋体"/>
                <w:color w:val="auto"/>
                <w:sz w:val="22"/>
                <w:highlight w:val="none"/>
                <w:lang w:eastAsia="zh-CN"/>
              </w:rPr>
              <w:t>；</w:t>
            </w:r>
          </w:p>
          <w:p w14:paraId="4038AF64">
            <w:pPr>
              <w:widowControl w:val="0"/>
              <w:jc w:val="both"/>
              <w:rPr>
                <w:rFonts w:hint="eastAsia" w:ascii="宋体" w:hAnsi="宋体" w:eastAsia="宋体"/>
                <w:color w:val="auto"/>
                <w:sz w:val="22"/>
                <w:highlight w:val="none"/>
                <w:lang w:eastAsia="zh-CN"/>
              </w:rPr>
            </w:pPr>
            <w:r>
              <w:rPr>
                <w:rFonts w:hint="eastAsia" w:ascii="宋体" w:hAnsi="宋体" w:eastAsia="宋体"/>
                <w:color w:val="auto"/>
                <w:sz w:val="22"/>
                <w:highlight w:val="none"/>
              </w:rPr>
              <w:t>5、满足国家GB/T 20257.1-2017国家基本比例尺地图图式，能够支持 1:500、1:1000、1:2000 地形图绘制；具有完善的地形图式符号库，完全符合国家的最新地形图式标准，提供自定义符号接口</w:t>
            </w:r>
            <w:r>
              <w:rPr>
                <w:rFonts w:hint="eastAsia" w:ascii="宋体" w:hAnsi="宋体" w:eastAsia="宋体"/>
                <w:color w:val="auto"/>
                <w:sz w:val="22"/>
                <w:highlight w:val="none"/>
                <w:lang w:eastAsia="zh-CN"/>
              </w:rPr>
              <w:t>；</w:t>
            </w:r>
          </w:p>
          <w:p w14:paraId="6907204E">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6、提供图形编辑处理的工具箱，集成绘图处理、属性赋值、高程点处理、坐标提取、断面坡度标注、批量标注、等高线处理等工具；</w:t>
            </w:r>
          </w:p>
          <w:p w14:paraId="4E7D8904">
            <w:pPr>
              <w:widowControl w:val="0"/>
              <w:jc w:val="both"/>
              <w:rPr>
                <w:rFonts w:hint="eastAsia" w:ascii="宋体" w:hAnsi="宋体" w:eastAsia="宋体"/>
                <w:color w:val="auto"/>
                <w:sz w:val="22"/>
                <w:highlight w:val="none"/>
                <w:lang w:eastAsia="zh-CN"/>
              </w:rPr>
            </w:pPr>
            <w:r>
              <w:rPr>
                <w:rFonts w:hint="eastAsia" w:ascii="宋体" w:hAnsi="宋体" w:eastAsia="宋体"/>
                <w:color w:val="auto"/>
                <w:sz w:val="22"/>
                <w:highlight w:val="none"/>
              </w:rPr>
              <w:t>7、满足最新地图图式的图幅输出，地图分幅处理及添加多种规格图幅，包含标准图幅、任意图幅、批量分幅等</w:t>
            </w:r>
            <w:r>
              <w:rPr>
                <w:rFonts w:hint="eastAsia" w:ascii="宋体" w:hAnsi="宋体" w:eastAsia="宋体"/>
                <w:color w:val="auto"/>
                <w:sz w:val="22"/>
                <w:highlight w:val="none"/>
                <w:lang w:eastAsia="zh-CN"/>
              </w:rPr>
              <w:t>；</w:t>
            </w:r>
          </w:p>
          <w:p w14:paraId="5463946F">
            <w:pPr>
              <w:widowControl w:val="0"/>
              <w:jc w:val="both"/>
              <w:rPr>
                <w:rFonts w:hint="eastAsia" w:ascii="宋体" w:hAnsi="宋体" w:eastAsia="宋体"/>
                <w:color w:val="auto"/>
                <w:sz w:val="22"/>
                <w:highlight w:val="none"/>
                <w:lang w:eastAsia="zh-CN"/>
              </w:rPr>
            </w:pPr>
            <w:r>
              <w:rPr>
                <w:rFonts w:hint="eastAsia" w:ascii="宋体" w:hAnsi="宋体" w:eastAsia="宋体"/>
                <w:color w:val="auto"/>
                <w:sz w:val="22"/>
                <w:highlight w:val="none"/>
              </w:rPr>
              <w:t>8、提供断面图绘制、公路曲线设计等工程应用功能，公路曲线同时支持交点法和线元法；道桥隧智能全站仪设计和采集的曲线数据，支持直接读取，自动输出报表</w:t>
            </w:r>
            <w:r>
              <w:rPr>
                <w:rFonts w:hint="eastAsia" w:ascii="宋体" w:hAnsi="宋体" w:eastAsia="宋体"/>
                <w:color w:val="auto"/>
                <w:sz w:val="22"/>
                <w:highlight w:val="none"/>
                <w:lang w:eastAsia="zh-CN"/>
              </w:rPr>
              <w:t>；</w:t>
            </w:r>
          </w:p>
          <w:p w14:paraId="12841DC9">
            <w:pPr>
              <w:widowControl w:val="0"/>
              <w:jc w:val="both"/>
              <w:rPr>
                <w:rFonts w:hint="eastAsia" w:ascii="宋体" w:hAnsi="宋体" w:eastAsia="宋体"/>
                <w:color w:val="auto"/>
                <w:sz w:val="22"/>
                <w:highlight w:val="none"/>
                <w:lang w:eastAsia="zh-CN"/>
              </w:rPr>
            </w:pPr>
            <w:r>
              <w:rPr>
                <w:rFonts w:hint="eastAsia" w:ascii="宋体" w:hAnsi="宋体" w:eastAsia="宋体"/>
                <w:color w:val="auto"/>
                <w:sz w:val="22"/>
                <w:highlight w:val="none"/>
              </w:rPr>
              <w:t>9、任意断面可直接读取设计文件，分别设计各断面中桩高程</w:t>
            </w:r>
            <w:r>
              <w:rPr>
                <w:rFonts w:hint="eastAsia" w:ascii="宋体" w:hAnsi="宋体" w:eastAsia="宋体"/>
                <w:color w:val="auto"/>
                <w:sz w:val="22"/>
                <w:highlight w:val="none"/>
                <w:lang w:eastAsia="zh-CN"/>
              </w:rPr>
              <w:t>；</w:t>
            </w:r>
          </w:p>
          <w:p w14:paraId="6A3BEC1C">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10、任意断面支持动态显示设计线；</w:t>
            </w:r>
          </w:p>
          <w:p w14:paraId="2111DC98">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11、支持绘制多期横断面图；</w:t>
            </w:r>
          </w:p>
          <w:p w14:paraId="525AACFF">
            <w:pPr>
              <w:widowControl w:val="0"/>
              <w:jc w:val="both"/>
              <w:rPr>
                <w:rFonts w:hint="eastAsia" w:ascii="宋体" w:hAnsi="宋体" w:eastAsia="宋体"/>
                <w:color w:val="auto"/>
                <w:sz w:val="22"/>
                <w:highlight w:val="none"/>
                <w:lang w:val="en-US" w:eastAsia="zh-CN"/>
              </w:rPr>
            </w:pPr>
            <w:r>
              <w:rPr>
                <w:rFonts w:hint="eastAsia" w:ascii="宋体" w:hAnsi="宋体" w:eastAsia="宋体"/>
                <w:color w:val="auto"/>
                <w:sz w:val="22"/>
                <w:highlight w:val="none"/>
              </w:rPr>
              <w:t>12、可将绘制好并经过检查的地形地籍图完整地输出面向GIS库的mdb和shp格式数据，也可导入mdb或shp成图</w:t>
            </w:r>
            <w:r>
              <w:rPr>
                <w:rFonts w:hint="eastAsia" w:ascii="宋体" w:hAnsi="宋体" w:eastAsia="宋体"/>
                <w:color w:val="auto"/>
                <w:sz w:val="22"/>
                <w:highlight w:val="none"/>
                <w:lang w:val="en-US" w:eastAsia="zh-CN"/>
              </w:rPr>
              <w:t>；</w:t>
            </w:r>
          </w:p>
          <w:p w14:paraId="5512516C">
            <w:pPr>
              <w:widowControl w:val="0"/>
              <w:jc w:val="both"/>
              <w:rPr>
                <w:rFonts w:hint="eastAsia" w:ascii="宋体" w:hAnsi="宋体" w:eastAsia="宋体"/>
                <w:color w:val="auto"/>
                <w:sz w:val="22"/>
                <w:highlight w:val="none"/>
                <w:lang w:eastAsia="zh-CN"/>
              </w:rPr>
            </w:pPr>
            <w:r>
              <w:rPr>
                <w:rFonts w:hint="eastAsia" w:ascii="宋体" w:hAnsi="宋体" w:eastAsia="宋体"/>
                <w:color w:val="auto"/>
                <w:sz w:val="22"/>
                <w:highlight w:val="none"/>
              </w:rPr>
              <w:t>13、可直接读取主流软件输出的OSGB、S3C模型，模型浏览平滑顺畅，同时可基于三维模型进行DLG采编</w:t>
            </w:r>
            <w:r>
              <w:rPr>
                <w:rFonts w:hint="eastAsia" w:ascii="宋体" w:hAnsi="宋体" w:eastAsia="宋体"/>
                <w:color w:val="auto"/>
                <w:sz w:val="22"/>
                <w:highlight w:val="none"/>
                <w:lang w:eastAsia="zh-CN"/>
              </w:rPr>
              <w:t>；</w:t>
            </w:r>
          </w:p>
          <w:p w14:paraId="06335D37">
            <w:pPr>
              <w:widowControl w:val="0"/>
              <w:jc w:val="both"/>
              <w:rPr>
                <w:rFonts w:hint="eastAsia" w:ascii="宋体" w:hAnsi="宋体" w:eastAsia="宋体"/>
                <w:color w:val="auto"/>
                <w:sz w:val="22"/>
                <w:highlight w:val="none"/>
                <w:lang w:eastAsia="zh-CN"/>
              </w:rPr>
            </w:pPr>
            <w:r>
              <w:rPr>
                <w:rFonts w:hint="eastAsia" w:ascii="宋体" w:hAnsi="宋体" w:eastAsia="宋体"/>
                <w:color w:val="auto"/>
                <w:sz w:val="22"/>
                <w:highlight w:val="none"/>
              </w:rPr>
              <w:t>14、点云绘图，兼容多种格式的点云数据，支持多种点云渲染模式。针对复杂的建筑群，支持点云绘房、点云分层图绘制，点云立面图绘制、立面图汇总统计，点云断面图绘制和动态更新等功能</w:t>
            </w:r>
            <w:r>
              <w:rPr>
                <w:rFonts w:hint="eastAsia" w:ascii="宋体" w:hAnsi="宋体" w:eastAsia="宋体"/>
                <w:color w:val="auto"/>
                <w:sz w:val="22"/>
                <w:highlight w:val="none"/>
                <w:lang w:eastAsia="zh-CN"/>
              </w:rPr>
              <w:t>；</w:t>
            </w:r>
          </w:p>
          <w:p w14:paraId="5D8BD08A">
            <w:pPr>
              <w:widowControl w:val="0"/>
              <w:jc w:val="both"/>
              <w:rPr>
                <w:rFonts w:hint="eastAsia" w:ascii="宋体" w:hAnsi="宋体" w:eastAsia="宋体"/>
                <w:color w:val="auto"/>
                <w:sz w:val="22"/>
                <w:highlight w:val="none"/>
              </w:rPr>
            </w:pPr>
            <w:r>
              <w:rPr>
                <w:rFonts w:hint="eastAsia" w:ascii="宋体" w:hAnsi="宋体" w:eastAsia="宋体"/>
                <w:color w:val="auto"/>
                <w:sz w:val="22"/>
                <w:highlight w:val="none"/>
              </w:rPr>
              <w:t>15、提供多种交互式分类工具，包括但不限于线上分类、线下分类、单点分类、画刷分类等，通过对不同类别点云构TIN辅助分类，TIN模型显示效果随分类操作实时更新；</w:t>
            </w:r>
          </w:p>
          <w:p w14:paraId="3CCA78F7">
            <w:pPr>
              <w:widowControl w:val="0"/>
              <w:jc w:val="both"/>
              <w:rPr>
                <w:rFonts w:hint="eastAsia" w:ascii="宋体" w:hAnsi="宋体" w:eastAsia="宋体"/>
                <w:color w:val="auto"/>
                <w:sz w:val="22"/>
                <w:highlight w:val="none"/>
                <w:lang w:eastAsia="zh-CN"/>
              </w:rPr>
            </w:pPr>
            <w:r>
              <w:rPr>
                <w:rFonts w:hint="eastAsia" w:ascii="宋体" w:hAnsi="宋体" w:eastAsia="宋体"/>
                <w:color w:val="auto"/>
                <w:sz w:val="22"/>
                <w:highlight w:val="none"/>
              </w:rPr>
              <w:t>16、支持构建不同类别点云的TIN模型，支持通过删点、加点、绘制断裂线等方式对TIN进行编辑，编辑结果可导出</w:t>
            </w:r>
            <w:r>
              <w:rPr>
                <w:rFonts w:hint="eastAsia" w:ascii="宋体" w:hAnsi="宋体" w:eastAsia="宋体"/>
                <w:color w:val="auto"/>
                <w:sz w:val="22"/>
                <w:highlight w:val="none"/>
                <w:lang w:eastAsia="zh-CN"/>
              </w:rPr>
              <w:t>；</w:t>
            </w:r>
          </w:p>
          <w:p w14:paraId="0EC1D362">
            <w:pPr>
              <w:widowControl w:val="0"/>
              <w:jc w:val="both"/>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olor w:val="auto"/>
                <w:sz w:val="22"/>
                <w:highlight w:val="none"/>
              </w:rPr>
              <w:t>17、支持通过分类后点云、精修TIN模型生成DEM、DSM、等高线数据</w:t>
            </w:r>
            <w:r>
              <w:rPr>
                <w:rFonts w:hint="eastAsia" w:ascii="宋体" w:hAnsi="宋体" w:eastAsia="宋体"/>
                <w:color w:val="auto"/>
                <w:sz w:val="22"/>
                <w:highlight w:val="none"/>
                <w:lang w:eastAsia="zh-CN"/>
              </w:rPr>
              <w:t>。</w:t>
            </w:r>
          </w:p>
        </w:tc>
        <w:tc>
          <w:tcPr>
            <w:tcW w:w="709" w:type="dxa"/>
            <w:noWrap w:val="0"/>
            <w:vAlign w:val="center"/>
          </w:tcPr>
          <w:p w14:paraId="57EFA57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w:t>
            </w:r>
          </w:p>
        </w:tc>
        <w:tc>
          <w:tcPr>
            <w:tcW w:w="790" w:type="dxa"/>
            <w:noWrap w:val="0"/>
            <w:vAlign w:val="center"/>
          </w:tcPr>
          <w:p w14:paraId="512081A8">
            <w:pPr>
              <w:widowControl w:val="0"/>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套</w:t>
            </w:r>
          </w:p>
        </w:tc>
        <w:tc>
          <w:tcPr>
            <w:tcW w:w="894" w:type="dxa"/>
            <w:noWrap w:val="0"/>
            <w:vAlign w:val="top"/>
          </w:tcPr>
          <w:p w14:paraId="2FE4A814">
            <w:pPr>
              <w:widowControl w:val="0"/>
              <w:jc w:val="center"/>
              <w:rPr>
                <w:color w:val="auto"/>
                <w:highlight w:val="none"/>
                <w:vertAlign w:val="baseline"/>
              </w:rPr>
            </w:pPr>
          </w:p>
        </w:tc>
      </w:tr>
      <w:tr w14:paraId="65DF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0C8ED4CB">
            <w:pPr>
              <w:widowControl/>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22</w:t>
            </w:r>
          </w:p>
        </w:tc>
        <w:tc>
          <w:tcPr>
            <w:tcW w:w="1342" w:type="dxa"/>
            <w:noWrap w:val="0"/>
            <w:vAlign w:val="center"/>
          </w:tcPr>
          <w:p w14:paraId="6F8A4028">
            <w:pPr>
              <w:widowControl/>
              <w:jc w:val="center"/>
              <w:textAlignment w:val="center"/>
              <w:rPr>
                <w:color w:val="auto"/>
                <w:highlight w:val="none"/>
                <w:vertAlign w:val="baseline"/>
              </w:rPr>
            </w:pPr>
            <w:r>
              <w:rPr>
                <w:rFonts w:hint="eastAsia" w:ascii="宋体" w:hAnsi="宋体" w:eastAsia="宋体" w:cs="宋体"/>
                <w:color w:val="auto"/>
                <w:kern w:val="0"/>
                <w:sz w:val="22"/>
                <w:szCs w:val="22"/>
                <w:highlight w:val="none"/>
              </w:rPr>
              <w:t>手持式激光雷达</w:t>
            </w:r>
          </w:p>
        </w:tc>
        <w:tc>
          <w:tcPr>
            <w:tcW w:w="4836" w:type="dxa"/>
            <w:noWrap w:val="0"/>
            <w:vAlign w:val="top"/>
          </w:tcPr>
          <w:p w14:paraId="3904DA7A">
            <w:pPr>
              <w:widowControl/>
              <w:jc w:val="left"/>
              <w:textAlignment w:val="top"/>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kern w:val="0"/>
                <w:sz w:val="22"/>
                <w:szCs w:val="22"/>
                <w:highlight w:val="none"/>
              </w:rPr>
              <w:t>1.手持式三维采集系统</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1.1测程≥120m，相对精度：≤3cm，绝对精度≤5cm，水平扫描角度≥280°；垂直扫描角度≥360°；定位方式：基于SLAM技术的手持扫描设备，无需GNSS信号；自动记录点位，硬件系统数据采集时，使用基准标自动记录控制点点位；坐标转换方式：支持标定板随时采集控制点坐标后</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1.2搭载方式：可在手持、延长杆、背包、车载等多种平台搭载使用；</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1.3扫描方式：激光头自动360°旋转式扫描；激光头360°旋转周期≤3秒钟/每圈；</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1.4数据接口：数据下拷贝；</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1.5扫描速度：≥320,000点/秒；激光等级：一级安全激光；手持部分重量：≤1.8kg，电池容量，可供系统连续4个小时以上，可实时显示剩余电量；</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1.6整机防水防尘等级：IP54，激光防护等级IP67；</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1.7全景手持移动扫描仪，全景相机像素1800万，影像可为点云着色生成彩色点云数据；可升级集成为带 GPS 实时差分定位的移动采集系统，点云可直接转换到绝对坐标</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1.8存储：≥256G SSD；</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1.9点云输出格式：Las, Ply, LiData</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2.配套解算软件</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2.1配套软件为自主研发国产软件，可切换多种语言界面。</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2.2支持多种点云格式输出：如.las, .laz, 等，可直接在预处理软件中打开数据。</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2.3支持闭环检测功能</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2.4支持云基站和实体基站PPK解算，支持RTK数据导入数据解算</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2.5支持惯性紧耦合slam处理技术，无需借助第三方软件，即可生成高精度轨迹数据</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2.6支持数据一键式解算处理，可批量解算多个数据工程文件。</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2.7支持时间和距离着色，可获得真彩色点云成果</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2.8支持自定义MASK文件，可选择对应文件进行处理；</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2.9支持多测站点云数据拼接功能，具备ICP配准、同名点对配准、GCP点云配准等多种点云配准功能</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2.10支持体积量测功能，可一键导出体积测量报告</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3.点云后处理软件</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3.1数据显示：支持≥10GB以上点云数据三维显示，支持点云数据的多种专题显示，包括高程专题，类别专题，强度专题，影像专题等</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3.2支持对地面点、低矮植被点、中等植被点、高植被点、建筑物点、低点、模型关键点、水体点、车辆点、路灯点、重叠点、屋顶点、墙壁点、杆状物点、电力线点、杆塔点、上交跨点、下交跨点、地线点、静止车辆点、移动车辆点、树干点、枝叶点、广告牌点、护栏点、绝缘子点、引流线点、巷道壁点、通风管道点、线缆点、杂物点、噪点，等地物进行一键自动分类。</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3.3地形产品生成：能快速生成DEM、DSM、CHM等产品，具有离散点云的插值处理功能，通过构建不规则三角网，支持生成DSM和DEM成果数据，并支持等高线的快速生产；</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3.4支持间伐分析，可根据树间距和单木属性确定需要被砍伐的树木，计算出间伐前后的棵数、立木材积、树木密度、平均胸径、最大胸径、最小胸径、平均树高、最大树高、最小树高、采伐比例;支持立木材积分析，可基于单木分割和分类的结果，计算出每一棵树木的弯曲度、树干切段、立木材积。可设置计算材积的切片厚度，树干分段长度</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3.5支持将点云、矢量、模型成果上端到云端，使用浏览器进行浏览，并通过链接/二维码共享；</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3.6点云数据质量检查：可用自带处理软件进行质量检查与分析、分类检查、产品成果检查，支持航空机载点云数据多航带自动拼接，对激光点云条带进行条带平差，消除条带间误差；</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3.7包含地质分析模块，具有查询统计倾角走向及生成报告，计算流量、流向、填洼，用于提取山脊山谷线等功能；</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3.8支持通用格式矢量（shape、DXF、）遥感栅格影像（tiff） 等多源空间数据的读写、存储和叠加显示；</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3.9具有三维线划图(DLG)的生成和编辑功能，支持基于点云半自动提取建筑物轮廓，支持以分类显示、高度过滤等多种方式过滤出目标点云</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3.10支持半自动轮廓线提取，支持房屋轮廓线正则化；支持内外轮廓线控制、房屋分层轮廓线</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3.11支持联合点云、模型、影像进行矢量绘制支持半自动轮廓线提取，支持房屋轮廓线正则化；支持内外轮廓线控制、房屋分层轮廓线控制，支持多边形、多段线、圆形、弧形、样条曲线、白塞尔曲线、线简化与平滑绘制</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3.12软件支持露天矿/巷道三维建模，支持自动提取矿山边坡的坡顶坡底线，并将其保存到不同的图层/矢量文件中，支持生成dxf或shp格式的成果，软件支持对露天矿的料堆进行体积量测，可对露天矿的多期数据、多个位置的体积变化进行分析，支持坡道间合规分析，可提取边坡台阶的宽度和坡度，分析矿山边坡安全，导出pdf格式的成果报告</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3.13软件可对巷道点云进行自动分类，可对巷道点云进行三维建模，软件可计算巷道回填体积，可对巷道模型、点云进行断面生成，并支持与设计巷道超欠挖对比分析，可计算封闭巷道体积</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3.14可以定量提取精细的地表粗糙度、坡度、坡向等地形地貌参数，多期数据下，可以精确地提取特征地形地貌的细微变化量；</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3.15支持基于建筑物轮廓矢量文件和点云数据，自动构建LOD2.2精度的，LiBIM格式的建筑模型；</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3.16软件具有“单木的生物量和碳储量估算”功能，软件内置计算公式，支持自定义公式，支持提取单木的枝下高，计算枝下树干体积，自动添加到单木属性表中</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3.17支持用户自定义点云深度学习分类，可将完成分类的数据作为样本和验证数据，训练深度学习分类模型，并使用该模型对未分类的点云数据进行分类，分类结果的类别中包含样本数据中的类别。可实现对多种用户所需的地物类别进行分类。</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3.18支持单木建模，可创建符合真实场景中每一棵树木尺寸的三维模型，支持一次流程中对多个树种进行建模，支持用户自定义树种模型，内置70个不同树种的模型，支持森林结构变化检测，可基于两期数据识别出森林冠层结构的增减状况。</w:t>
            </w:r>
          </w:p>
        </w:tc>
        <w:tc>
          <w:tcPr>
            <w:tcW w:w="709" w:type="dxa"/>
            <w:noWrap w:val="0"/>
            <w:vAlign w:val="center"/>
          </w:tcPr>
          <w:p w14:paraId="56371F7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w:t>
            </w:r>
          </w:p>
        </w:tc>
        <w:tc>
          <w:tcPr>
            <w:tcW w:w="790" w:type="dxa"/>
            <w:noWrap w:val="0"/>
            <w:vAlign w:val="center"/>
          </w:tcPr>
          <w:p w14:paraId="5C8A7F64">
            <w:pPr>
              <w:widowControl w:val="0"/>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套</w:t>
            </w:r>
          </w:p>
        </w:tc>
        <w:tc>
          <w:tcPr>
            <w:tcW w:w="894" w:type="dxa"/>
            <w:noWrap w:val="0"/>
            <w:vAlign w:val="top"/>
          </w:tcPr>
          <w:p w14:paraId="5FD36382">
            <w:pPr>
              <w:widowControl w:val="0"/>
              <w:jc w:val="center"/>
              <w:rPr>
                <w:color w:val="auto"/>
                <w:highlight w:val="none"/>
                <w:vertAlign w:val="baseline"/>
              </w:rPr>
            </w:pPr>
          </w:p>
        </w:tc>
      </w:tr>
      <w:tr w14:paraId="59377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2373D29A">
            <w:pPr>
              <w:widowControl/>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23</w:t>
            </w:r>
          </w:p>
        </w:tc>
        <w:tc>
          <w:tcPr>
            <w:tcW w:w="1342" w:type="dxa"/>
            <w:noWrap w:val="0"/>
            <w:vAlign w:val="center"/>
          </w:tcPr>
          <w:p w14:paraId="55E6C67F">
            <w:pPr>
              <w:widowControl/>
              <w:jc w:val="center"/>
              <w:textAlignment w:val="center"/>
              <w:rPr>
                <w:color w:val="auto"/>
                <w:highlight w:val="none"/>
                <w:vertAlign w:val="baseline"/>
              </w:rPr>
            </w:pPr>
            <w:r>
              <w:rPr>
                <w:rFonts w:hint="eastAsia" w:ascii="宋体" w:hAnsi="宋体" w:eastAsia="宋体" w:cs="宋体"/>
                <w:color w:val="auto"/>
                <w:kern w:val="0"/>
                <w:sz w:val="22"/>
                <w:szCs w:val="22"/>
                <w:highlight w:val="none"/>
              </w:rPr>
              <w:t>树干茎流仪</w:t>
            </w:r>
          </w:p>
        </w:tc>
        <w:tc>
          <w:tcPr>
            <w:tcW w:w="4836" w:type="dxa"/>
            <w:noWrap w:val="0"/>
            <w:vAlign w:val="top"/>
          </w:tcPr>
          <w:p w14:paraId="3BC33F2E">
            <w:pPr>
              <w:widowControl/>
              <w:jc w:val="left"/>
              <w:textAlignment w:val="top"/>
              <w:rPr>
                <w:rFonts w:hint="eastAsia" w:ascii="宋体" w:hAnsi="宋体" w:eastAsia="宋体" w:cs="宋体"/>
                <w:i w:val="0"/>
                <w:iCs w:val="0"/>
                <w:color w:val="auto"/>
                <w:kern w:val="0"/>
                <w:sz w:val="22"/>
                <w:szCs w:val="22"/>
                <w:highlight w:val="none"/>
                <w:u w:val="none"/>
                <w:lang w:val="en-US" w:eastAsia="zh-CN" w:bidi="ar"/>
              </w:rPr>
            </w:pPr>
            <w:r>
              <w:rPr>
                <w:rStyle w:val="67"/>
                <w:rFonts w:hint="default"/>
                <w:color w:val="auto"/>
                <w:highlight w:val="none"/>
              </w:rPr>
              <w:t>1、测量主机</w:t>
            </w:r>
            <w:r>
              <w:rPr>
                <w:rStyle w:val="67"/>
                <w:rFonts w:hint="default"/>
                <w:color w:val="auto"/>
                <w:highlight w:val="none"/>
              </w:rPr>
              <w:br w:type="textWrapping"/>
            </w:r>
            <w:r>
              <w:rPr>
                <w:rStyle w:val="67"/>
                <w:rFonts w:hint="default"/>
                <w:color w:val="auto"/>
                <w:highlight w:val="none"/>
              </w:rPr>
              <w:t>测量范围: -100至100cm/hr</w:t>
            </w:r>
            <w:r>
              <w:rPr>
                <w:rStyle w:val="67"/>
                <w:rFonts w:hint="default"/>
                <w:color w:val="auto"/>
                <w:highlight w:val="none"/>
              </w:rPr>
              <w:br w:type="textWrapping"/>
            </w:r>
            <w:r>
              <w:rPr>
                <w:rStyle w:val="67"/>
                <w:rFonts w:hint="default"/>
                <w:color w:val="auto"/>
                <w:highlight w:val="none"/>
              </w:rPr>
              <w:t>测量分辨率: ≥0.001cm/hr</w:t>
            </w:r>
            <w:r>
              <w:rPr>
                <w:rStyle w:val="67"/>
                <w:rFonts w:hint="default"/>
                <w:color w:val="auto"/>
                <w:highlight w:val="none"/>
              </w:rPr>
              <w:br w:type="textWrapping"/>
            </w:r>
            <w:r>
              <w:rPr>
                <w:rStyle w:val="67"/>
                <w:rFonts w:hint="default"/>
                <w:color w:val="auto"/>
                <w:highlight w:val="none"/>
              </w:rPr>
              <w:t>精确度: ±0.1cm/hr</w:t>
            </w:r>
            <w:r>
              <w:rPr>
                <w:rStyle w:val="67"/>
                <w:rFonts w:hint="default"/>
                <w:color w:val="auto"/>
                <w:highlight w:val="none"/>
              </w:rPr>
              <w:br w:type="textWrapping"/>
            </w:r>
            <w:r>
              <w:rPr>
                <w:rStyle w:val="67"/>
                <w:rFonts w:hint="default"/>
                <w:color w:val="auto"/>
                <w:highlight w:val="none"/>
              </w:rPr>
              <w:t>响应时间: ≤120秒</w:t>
            </w:r>
            <w:r>
              <w:rPr>
                <w:rStyle w:val="67"/>
                <w:rFonts w:hint="default"/>
                <w:color w:val="auto"/>
                <w:highlight w:val="none"/>
              </w:rPr>
              <w:br w:type="textWrapping"/>
            </w:r>
            <w:r>
              <w:rPr>
                <w:rStyle w:val="67"/>
                <w:rFonts w:hint="default"/>
                <w:color w:val="auto"/>
                <w:highlight w:val="none"/>
              </w:rPr>
              <w:t>热脉冲: 15J(默认，可调)</w:t>
            </w:r>
            <w:r>
              <w:rPr>
                <w:rStyle w:val="67"/>
                <w:rFonts w:hint="default"/>
                <w:color w:val="auto"/>
                <w:highlight w:val="none"/>
              </w:rPr>
              <w:br w:type="textWrapping"/>
            </w:r>
            <w:r>
              <w:rPr>
                <w:rStyle w:val="67"/>
                <w:rFonts w:hint="default"/>
                <w:color w:val="auto"/>
                <w:highlight w:val="none"/>
              </w:rPr>
              <w:t>数据存储:本机2MB循环存储，本机与服务器端并行存储</w:t>
            </w:r>
            <w:r>
              <w:rPr>
                <w:rStyle w:val="67"/>
                <w:rFonts w:hint="default"/>
                <w:color w:val="auto"/>
                <w:highlight w:val="none"/>
              </w:rPr>
              <w:br w:type="textWrapping"/>
            </w:r>
            <w:r>
              <w:rPr>
                <w:rStyle w:val="67"/>
                <w:rFonts w:hint="default"/>
                <w:color w:val="auto"/>
                <w:highlight w:val="none"/>
              </w:rPr>
              <w:t xml:space="preserve">供电方式:内置3.7V锂电池供电，可独立运行14天以上，外接太阳能板，可实现长期连续测量 </w:t>
            </w:r>
            <w:r>
              <w:rPr>
                <w:rStyle w:val="67"/>
                <w:rFonts w:hint="default"/>
                <w:color w:val="auto"/>
                <w:highlight w:val="none"/>
              </w:rPr>
              <w:br w:type="textWrapping"/>
            </w:r>
            <w:r>
              <w:rPr>
                <w:rStyle w:val="67"/>
                <w:rFonts w:hint="default"/>
                <w:color w:val="auto"/>
                <w:highlight w:val="none"/>
              </w:rPr>
              <w:t>数据传输:4G无线传输</w:t>
            </w:r>
            <w:r>
              <w:rPr>
                <w:rStyle w:val="67"/>
                <w:rFonts w:hint="default"/>
                <w:color w:val="auto"/>
                <w:highlight w:val="none"/>
              </w:rPr>
              <w:br w:type="textWrapping"/>
            </w:r>
            <w:r>
              <w:rPr>
                <w:rStyle w:val="67"/>
                <w:rFonts w:hint="default"/>
                <w:color w:val="auto"/>
                <w:highlight w:val="none"/>
              </w:rPr>
              <w:t>通信接口:USB</w:t>
            </w:r>
            <w:r>
              <w:rPr>
                <w:rStyle w:val="67"/>
                <w:rFonts w:hint="default"/>
                <w:color w:val="auto"/>
                <w:highlight w:val="none"/>
              </w:rPr>
              <w:br w:type="textWrapping"/>
            </w:r>
            <w:r>
              <w:rPr>
                <w:rStyle w:val="67"/>
                <w:rFonts w:hint="default"/>
                <w:color w:val="auto"/>
                <w:highlight w:val="none"/>
              </w:rPr>
              <w:t>2、液流探针</w:t>
            </w:r>
            <w:r>
              <w:rPr>
                <w:rStyle w:val="67"/>
                <w:rFonts w:hint="default"/>
                <w:color w:val="auto"/>
                <w:highlight w:val="none"/>
              </w:rPr>
              <w:br w:type="textWrapping"/>
            </w:r>
            <w:r>
              <w:rPr>
                <w:rStyle w:val="67"/>
                <w:rFonts w:hint="default"/>
                <w:color w:val="auto"/>
                <w:highlight w:val="none"/>
              </w:rPr>
              <w:t xml:space="preserve">探针直径：1.3mm，探针长度:35mm，外部测温点22.5mm，内部测温点7.5mm </w:t>
            </w:r>
            <w:r>
              <w:rPr>
                <w:rStyle w:val="67"/>
                <w:rFonts w:hint="default"/>
                <w:color w:val="auto"/>
                <w:highlight w:val="none"/>
              </w:rPr>
              <w:br w:type="textWrapping"/>
            </w:r>
            <w:r>
              <w:rPr>
                <w:rStyle w:val="67"/>
                <w:rFonts w:hint="default"/>
                <w:color w:val="auto"/>
                <w:highlight w:val="none"/>
              </w:rPr>
              <w:t>加热电压:10V，热脉冲:11.7J</w:t>
            </w:r>
            <w:r>
              <w:rPr>
                <w:rStyle w:val="67"/>
                <w:rFonts w:hint="default"/>
                <w:color w:val="auto"/>
                <w:highlight w:val="none"/>
              </w:rPr>
              <w:br w:type="textWrapping"/>
            </w:r>
            <w:r>
              <w:rPr>
                <w:rStyle w:val="67"/>
                <w:rFonts w:hint="default"/>
                <w:color w:val="auto"/>
                <w:highlight w:val="none"/>
              </w:rPr>
              <w:t>3、TDP数据采集主机</w:t>
            </w:r>
            <w:r>
              <w:rPr>
                <w:rStyle w:val="67"/>
                <w:rFonts w:hint="default"/>
                <w:color w:val="auto"/>
                <w:highlight w:val="none"/>
              </w:rPr>
              <w:br w:type="textWrapping"/>
            </w:r>
            <w:r>
              <w:rPr>
                <w:rStyle w:val="67"/>
                <w:rFonts w:hint="default"/>
                <w:color w:val="auto"/>
                <w:highlight w:val="none"/>
              </w:rPr>
              <w:t>本机2MB循环存储，服务器端无限存储， 8个差分通道，16个单端通道；精度：±0.03℃；分辨率：0.003℃；采样频率可设置，自动计算求平均值，SDI-12接口，可实现数字化远距离分布式连接液流探针。内置两路独立的电压调节器 ，电压调节范围2-8V可调</w:t>
            </w:r>
            <w:r>
              <w:rPr>
                <w:rStyle w:val="67"/>
                <w:rFonts w:hint="default"/>
                <w:color w:val="auto"/>
                <w:highlight w:val="none"/>
              </w:rPr>
              <w:br w:type="textWrapping"/>
            </w:r>
            <w:r>
              <w:rPr>
                <w:rStyle w:val="67"/>
                <w:rFonts w:hint="default"/>
                <w:color w:val="auto"/>
                <w:highlight w:val="none"/>
              </w:rPr>
              <w:t>4、TDP探针</w:t>
            </w:r>
            <w:r>
              <w:rPr>
                <w:rStyle w:val="67"/>
                <w:rFonts w:hint="default"/>
                <w:color w:val="auto"/>
                <w:highlight w:val="none"/>
              </w:rPr>
              <w:br w:type="textWrapping"/>
            </w:r>
            <w:r>
              <w:rPr>
                <w:rStyle w:val="67"/>
                <w:rFonts w:hint="default"/>
                <w:color w:val="auto"/>
                <w:highlight w:val="none"/>
              </w:rPr>
              <w:t>双探针设计，探针间距40mm，直径1.2mm，长度：10-50mm可选可根据需求测定不同边材深度液流速率，信号输出40</w:t>
            </w:r>
            <w:r>
              <w:rPr>
                <w:rStyle w:val="149"/>
                <w:rFonts w:eastAsia="宋体"/>
                <w:color w:val="auto"/>
                <w:highlight w:val="none"/>
              </w:rPr>
              <w:t>μ</w:t>
            </w:r>
            <w:r>
              <w:rPr>
                <w:rStyle w:val="67"/>
                <w:rFonts w:hint="default"/>
                <w:color w:val="auto"/>
                <w:highlight w:val="none"/>
              </w:rPr>
              <w:t>V/℃，每个探针20米液流延长线，配有专用的电缆连接器</w:t>
            </w:r>
            <w:r>
              <w:rPr>
                <w:rStyle w:val="67"/>
                <w:rFonts w:hint="default"/>
                <w:color w:val="auto"/>
                <w:highlight w:val="none"/>
              </w:rPr>
              <w:br w:type="textWrapping"/>
            </w:r>
            <w:r>
              <w:rPr>
                <w:rStyle w:val="67"/>
                <w:rFonts w:hint="default"/>
                <w:color w:val="auto"/>
                <w:highlight w:val="none"/>
              </w:rPr>
              <w:t>5、数据传输服务</w:t>
            </w:r>
            <w:r>
              <w:rPr>
                <w:rStyle w:val="67"/>
                <w:rFonts w:hint="default"/>
                <w:color w:val="auto"/>
                <w:highlight w:val="none"/>
              </w:rPr>
              <w:br w:type="textWrapping"/>
            </w:r>
            <w:r>
              <w:rPr>
                <w:rStyle w:val="67"/>
                <w:rFonts w:hint="default"/>
                <w:color w:val="auto"/>
                <w:highlight w:val="none"/>
              </w:rPr>
              <w:t>数据远程查看与传输，不需要额外的云平台服务费。</w:t>
            </w:r>
            <w:r>
              <w:rPr>
                <w:rStyle w:val="67"/>
                <w:rFonts w:hint="default"/>
                <w:color w:val="auto"/>
                <w:highlight w:val="none"/>
              </w:rPr>
              <w:br w:type="textWrapping"/>
            </w:r>
            <w:r>
              <w:rPr>
                <w:rStyle w:val="67"/>
                <w:rFonts w:hint="default"/>
                <w:color w:val="auto"/>
                <w:highlight w:val="none"/>
              </w:rPr>
              <w:t>6、系统配置</w:t>
            </w:r>
            <w:r>
              <w:rPr>
                <w:rStyle w:val="67"/>
                <w:rFonts w:hint="default"/>
                <w:color w:val="auto"/>
                <w:highlight w:val="none"/>
              </w:rPr>
              <w:br w:type="textWrapping"/>
            </w:r>
            <w:r>
              <w:rPr>
                <w:rStyle w:val="67"/>
                <w:rFonts w:hint="default"/>
                <w:color w:val="auto"/>
                <w:highlight w:val="none"/>
              </w:rPr>
              <w:t>ISF10测量主机 1 台、TDP数据采集主机1台、STDP液流探针8个、HR</w:t>
            </w:r>
            <w:r>
              <w:rPr>
                <w:rStyle w:val="67"/>
                <w:rFonts w:hint="eastAsia"/>
                <w:color w:val="auto"/>
                <w:highlight w:val="none"/>
                <w:lang w:val="en-US" w:eastAsia="zh-CN"/>
              </w:rPr>
              <w:t>m</w:t>
            </w:r>
            <w:r>
              <w:rPr>
                <w:rStyle w:val="67"/>
                <w:rFonts w:hint="default"/>
                <w:color w:val="auto"/>
                <w:highlight w:val="none"/>
                <w:vertAlign w:val="superscript"/>
              </w:rPr>
              <w:t>2</w:t>
            </w:r>
            <w:r>
              <w:rPr>
                <w:rStyle w:val="67"/>
                <w:rFonts w:hint="default"/>
                <w:color w:val="auto"/>
                <w:highlight w:val="none"/>
              </w:rPr>
              <w:t>35液流探针5个、20 m延长线8条、液流采集模块1个，太阳能供电系统1套，无线传输模块1套、防护机箱1个、液流专用三角支架1套</w:t>
            </w:r>
            <w:r>
              <w:rPr>
                <w:rStyle w:val="67"/>
                <w:rFonts w:hint="eastAsia" w:eastAsia="宋体"/>
                <w:color w:val="auto"/>
                <w:highlight w:val="none"/>
                <w:lang w:eastAsia="zh-CN"/>
              </w:rPr>
              <w:t>、数据采集设备</w:t>
            </w:r>
            <w:r>
              <w:rPr>
                <w:rStyle w:val="67"/>
                <w:rFonts w:hint="eastAsia" w:eastAsia="宋体"/>
                <w:color w:val="auto"/>
                <w:highlight w:val="none"/>
                <w:lang w:val="en-US" w:eastAsia="zh-CN"/>
              </w:rPr>
              <w:t>1套</w:t>
            </w:r>
          </w:p>
        </w:tc>
        <w:tc>
          <w:tcPr>
            <w:tcW w:w="709" w:type="dxa"/>
            <w:noWrap w:val="0"/>
            <w:vAlign w:val="center"/>
          </w:tcPr>
          <w:p w14:paraId="6DA0853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w:t>
            </w:r>
          </w:p>
        </w:tc>
        <w:tc>
          <w:tcPr>
            <w:tcW w:w="790" w:type="dxa"/>
            <w:noWrap w:val="0"/>
            <w:vAlign w:val="center"/>
          </w:tcPr>
          <w:p w14:paraId="1665A692">
            <w:pPr>
              <w:widowControl w:val="0"/>
              <w:jc w:val="center"/>
              <w:rPr>
                <w:color w:val="auto"/>
                <w:highlight w:val="none"/>
                <w:vertAlign w:val="baseline"/>
              </w:rPr>
            </w:pPr>
            <w:r>
              <w:rPr>
                <w:rFonts w:hint="eastAsia"/>
                <w:color w:val="auto"/>
                <w:highlight w:val="none"/>
                <w:vertAlign w:val="baseline"/>
                <w:lang w:val="en-US" w:eastAsia="zh-CN"/>
              </w:rPr>
              <w:t>台</w:t>
            </w:r>
          </w:p>
        </w:tc>
        <w:tc>
          <w:tcPr>
            <w:tcW w:w="894" w:type="dxa"/>
            <w:noWrap w:val="0"/>
            <w:vAlign w:val="top"/>
          </w:tcPr>
          <w:p w14:paraId="470316B6">
            <w:pPr>
              <w:widowControl w:val="0"/>
              <w:jc w:val="center"/>
              <w:rPr>
                <w:color w:val="auto"/>
                <w:highlight w:val="none"/>
                <w:vertAlign w:val="baseline"/>
              </w:rPr>
            </w:pPr>
          </w:p>
        </w:tc>
      </w:tr>
      <w:tr w14:paraId="2D0D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104EE1DA">
            <w:pPr>
              <w:widowControl/>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24</w:t>
            </w:r>
          </w:p>
        </w:tc>
        <w:tc>
          <w:tcPr>
            <w:tcW w:w="1342" w:type="dxa"/>
            <w:noWrap w:val="0"/>
            <w:vAlign w:val="center"/>
          </w:tcPr>
          <w:p w14:paraId="7AA590C0">
            <w:pPr>
              <w:widowControl/>
              <w:jc w:val="center"/>
              <w:textAlignment w:val="center"/>
              <w:rPr>
                <w:color w:val="auto"/>
                <w:highlight w:val="none"/>
                <w:vertAlign w:val="baseline"/>
              </w:rPr>
            </w:pPr>
            <w:r>
              <w:rPr>
                <w:rFonts w:hint="eastAsia" w:ascii="宋体" w:hAnsi="宋体" w:eastAsia="宋体" w:cs="宋体"/>
                <w:color w:val="auto"/>
                <w:kern w:val="0"/>
                <w:sz w:val="22"/>
                <w:szCs w:val="22"/>
                <w:highlight w:val="none"/>
              </w:rPr>
              <w:t>植物高压导水率测量仪</w:t>
            </w:r>
            <w:r>
              <w:rPr>
                <w:rFonts w:hint="eastAsia" w:ascii="宋体" w:hAnsi="宋体" w:eastAsia="宋体" w:cs="宋体"/>
                <w:i w:val="0"/>
                <w:iCs w:val="0"/>
                <w:color w:val="auto"/>
                <w:kern w:val="0"/>
                <w:sz w:val="20"/>
                <w:szCs w:val="20"/>
                <w:highlight w:val="none"/>
                <w:u w:val="none"/>
                <w:lang w:val="en-US" w:eastAsia="zh-CN" w:bidi="ar"/>
              </w:rPr>
              <w:t>（本产品已做进口产品论证，允许采购进口产品）</w:t>
            </w:r>
          </w:p>
        </w:tc>
        <w:tc>
          <w:tcPr>
            <w:tcW w:w="4836" w:type="dxa"/>
            <w:noWrap w:val="0"/>
            <w:vAlign w:val="top"/>
          </w:tcPr>
          <w:p w14:paraId="1A3C1119">
            <w:pPr>
              <w:widowControl/>
              <w:jc w:val="left"/>
              <w:textAlignment w:val="top"/>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kern w:val="0"/>
                <w:sz w:val="22"/>
                <w:szCs w:val="22"/>
                <w:highlight w:val="none"/>
              </w:rPr>
              <w:t>1.测量直径：1～55 mm</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 量程：0.7～2500 g·h</w:t>
            </w:r>
            <w:r>
              <w:rPr>
                <w:rFonts w:hint="eastAsia" w:ascii="宋体" w:hAnsi="宋体" w:eastAsia="宋体" w:cs="宋体"/>
                <w:color w:val="auto"/>
                <w:kern w:val="0"/>
                <w:sz w:val="22"/>
                <w:szCs w:val="22"/>
                <w:highlight w:val="none"/>
                <w:vertAlign w:val="superscript"/>
              </w:rPr>
              <w:t>-1</w:t>
            </w:r>
            <w:r>
              <w:rPr>
                <w:rFonts w:hint="eastAsia" w:ascii="宋体" w:hAnsi="宋体" w:eastAsia="宋体" w:cs="宋体"/>
                <w:color w:val="auto"/>
                <w:kern w:val="0"/>
                <w:sz w:val="22"/>
                <w:szCs w:val="22"/>
                <w:highlight w:val="none"/>
              </w:rPr>
              <w:t>，6个量程</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3.导水率测定范围：7.7×10</w:t>
            </w:r>
            <w:r>
              <w:rPr>
                <w:rFonts w:hint="eastAsia" w:ascii="宋体" w:hAnsi="宋体" w:eastAsia="宋体" w:cs="宋体"/>
                <w:color w:val="auto"/>
                <w:kern w:val="0"/>
                <w:sz w:val="22"/>
                <w:szCs w:val="22"/>
                <w:highlight w:val="none"/>
                <w:vertAlign w:val="superscript"/>
              </w:rPr>
              <w:t>-8</w:t>
            </w:r>
            <w:r>
              <w:rPr>
                <w:rFonts w:hint="eastAsia" w:ascii="宋体" w:hAnsi="宋体" w:eastAsia="宋体" w:cs="宋体"/>
                <w:color w:val="auto"/>
                <w:kern w:val="0"/>
                <w:sz w:val="22"/>
                <w:szCs w:val="22"/>
                <w:highlight w:val="none"/>
              </w:rPr>
              <w:t>～2.2×10</w:t>
            </w:r>
            <w:r>
              <w:rPr>
                <w:rFonts w:hint="eastAsia" w:ascii="宋体" w:hAnsi="宋体" w:eastAsia="宋体" w:cs="宋体"/>
                <w:color w:val="auto"/>
                <w:kern w:val="0"/>
                <w:sz w:val="22"/>
                <w:szCs w:val="22"/>
                <w:highlight w:val="none"/>
                <w:vertAlign w:val="superscript"/>
              </w:rPr>
              <w:t>-3</w:t>
            </w:r>
            <w:r>
              <w:rPr>
                <w:rFonts w:hint="eastAsia" w:ascii="宋体" w:hAnsi="宋体" w:eastAsia="宋体" w:cs="宋体"/>
                <w:color w:val="auto"/>
                <w:kern w:val="0"/>
                <w:sz w:val="22"/>
                <w:szCs w:val="22"/>
                <w:highlight w:val="none"/>
              </w:rPr>
              <w:t xml:space="preserve"> kg·s</w:t>
            </w:r>
            <w:r>
              <w:rPr>
                <w:rFonts w:hint="eastAsia" w:ascii="宋体" w:hAnsi="宋体" w:eastAsia="宋体" w:cs="宋体"/>
                <w:color w:val="auto"/>
                <w:kern w:val="0"/>
                <w:sz w:val="22"/>
                <w:szCs w:val="22"/>
                <w:highlight w:val="none"/>
                <w:vertAlign w:val="superscript"/>
              </w:rPr>
              <w:t>-1</w:t>
            </w:r>
            <w:r>
              <w:rPr>
                <w:rFonts w:hint="eastAsia" w:ascii="宋体" w:hAnsi="宋体" w:eastAsia="宋体" w:cs="宋体"/>
                <w:color w:val="auto"/>
                <w:kern w:val="0"/>
                <w:sz w:val="22"/>
                <w:szCs w:val="22"/>
                <w:highlight w:val="none"/>
              </w:rPr>
              <w:t>·MPa</w:t>
            </w:r>
            <w:r>
              <w:rPr>
                <w:rFonts w:hint="eastAsia" w:ascii="宋体" w:hAnsi="宋体" w:eastAsia="宋体" w:cs="宋体"/>
                <w:color w:val="auto"/>
                <w:kern w:val="0"/>
                <w:sz w:val="22"/>
                <w:szCs w:val="22"/>
                <w:highlight w:val="none"/>
                <w:vertAlign w:val="superscript"/>
              </w:rPr>
              <w:t>-1</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4. 输出：1个读数≤2s</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5. 重量≥12 kg（不包括压力瓶）</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6. 压力瓶容量≥8 L</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7.最大压力≥</w:t>
            </w:r>
            <w:r>
              <w:rPr>
                <w:rFonts w:hint="eastAsia" w:ascii="宋体" w:hAnsi="宋体" w:cs="宋体"/>
                <w:color w:val="auto"/>
                <w:kern w:val="0"/>
                <w:sz w:val="22"/>
                <w:szCs w:val="22"/>
                <w:highlight w:val="none"/>
                <w:lang w:val="en-US" w:eastAsia="zh-CN"/>
              </w:rPr>
              <w:t xml:space="preserve">630 </w:t>
            </w:r>
            <w:r>
              <w:rPr>
                <w:rFonts w:hint="eastAsia" w:ascii="宋体" w:hAnsi="宋体" w:eastAsia="宋体" w:cs="宋体"/>
                <w:color w:val="auto"/>
                <w:kern w:val="0"/>
                <w:sz w:val="22"/>
                <w:szCs w:val="22"/>
                <w:highlight w:val="none"/>
              </w:rPr>
              <w:t>kPa</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配置要求：</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1.系统主机一套；</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2.USB数模转换电源一套；</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3.小气瓶一个；</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4.压力调节器一套；</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5.充水器一套；</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6.便携推车和背包一套；</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7.软件一套；</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8.使用手册一套。</w:t>
            </w:r>
          </w:p>
        </w:tc>
        <w:tc>
          <w:tcPr>
            <w:tcW w:w="709" w:type="dxa"/>
            <w:noWrap w:val="0"/>
            <w:vAlign w:val="center"/>
          </w:tcPr>
          <w:p w14:paraId="4741EC4D">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w:t>
            </w:r>
          </w:p>
        </w:tc>
        <w:tc>
          <w:tcPr>
            <w:tcW w:w="790" w:type="dxa"/>
            <w:noWrap w:val="0"/>
            <w:vAlign w:val="center"/>
          </w:tcPr>
          <w:p w14:paraId="20DC9BB3">
            <w:pPr>
              <w:widowControl w:val="0"/>
              <w:jc w:val="center"/>
              <w:rPr>
                <w:rFonts w:hint="eastAsia"/>
                <w:color w:val="auto"/>
                <w:highlight w:val="none"/>
                <w:vertAlign w:val="baseline"/>
                <w:lang w:val="en-US" w:eastAsia="zh-CN"/>
              </w:rPr>
            </w:pPr>
            <w:r>
              <w:rPr>
                <w:rFonts w:hint="eastAsia"/>
                <w:color w:val="auto"/>
                <w:highlight w:val="none"/>
                <w:vertAlign w:val="baseline"/>
                <w:lang w:val="en-US" w:eastAsia="zh-CN"/>
              </w:rPr>
              <w:t>台</w:t>
            </w:r>
          </w:p>
        </w:tc>
        <w:tc>
          <w:tcPr>
            <w:tcW w:w="894" w:type="dxa"/>
            <w:noWrap w:val="0"/>
            <w:vAlign w:val="top"/>
          </w:tcPr>
          <w:p w14:paraId="677D0DDD">
            <w:pPr>
              <w:widowControl w:val="0"/>
              <w:jc w:val="center"/>
              <w:rPr>
                <w:color w:val="auto"/>
                <w:highlight w:val="none"/>
                <w:vertAlign w:val="baseline"/>
              </w:rPr>
            </w:pPr>
          </w:p>
        </w:tc>
      </w:tr>
      <w:tr w14:paraId="3B651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5C3B7893">
            <w:pPr>
              <w:widowControl/>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25</w:t>
            </w:r>
          </w:p>
        </w:tc>
        <w:tc>
          <w:tcPr>
            <w:tcW w:w="1342" w:type="dxa"/>
            <w:noWrap w:val="0"/>
            <w:vAlign w:val="center"/>
          </w:tcPr>
          <w:p w14:paraId="57FEAFB3">
            <w:pPr>
              <w:widowControl/>
              <w:jc w:val="center"/>
              <w:textAlignment w:val="center"/>
              <w:rPr>
                <w:color w:val="auto"/>
                <w:highlight w:val="none"/>
                <w:vertAlign w:val="baseline"/>
              </w:rPr>
            </w:pPr>
            <w:r>
              <w:rPr>
                <w:rFonts w:hint="eastAsia" w:ascii="宋体" w:hAnsi="宋体" w:eastAsia="宋体" w:cs="宋体"/>
                <w:color w:val="auto"/>
                <w:kern w:val="0"/>
                <w:sz w:val="22"/>
                <w:szCs w:val="22"/>
                <w:highlight w:val="none"/>
              </w:rPr>
              <w:t>地下水位自动监测系统</w:t>
            </w:r>
          </w:p>
        </w:tc>
        <w:tc>
          <w:tcPr>
            <w:tcW w:w="4836" w:type="dxa"/>
            <w:noWrap w:val="0"/>
            <w:vAlign w:val="top"/>
          </w:tcPr>
          <w:p w14:paraId="0F966D3F">
            <w:pPr>
              <w:widowControl/>
              <w:jc w:val="left"/>
              <w:textAlignment w:val="top"/>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kern w:val="0"/>
                <w:sz w:val="22"/>
                <w:szCs w:val="22"/>
                <w:highlight w:val="none"/>
              </w:rPr>
              <w:t>测量范围：0～10m；</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精度：±0.2%，分辨率：±1cm；</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配置需求：数据采集器、水位传感器、无线传输模块、安装支架、太阳能供电系统。</w:t>
            </w:r>
          </w:p>
        </w:tc>
        <w:tc>
          <w:tcPr>
            <w:tcW w:w="709" w:type="dxa"/>
            <w:noWrap w:val="0"/>
            <w:vAlign w:val="center"/>
          </w:tcPr>
          <w:p w14:paraId="4352BC72">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w:t>
            </w:r>
          </w:p>
        </w:tc>
        <w:tc>
          <w:tcPr>
            <w:tcW w:w="790" w:type="dxa"/>
            <w:noWrap w:val="0"/>
            <w:vAlign w:val="center"/>
          </w:tcPr>
          <w:p w14:paraId="62A350E4">
            <w:pPr>
              <w:widowControl w:val="0"/>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套</w:t>
            </w:r>
          </w:p>
        </w:tc>
        <w:tc>
          <w:tcPr>
            <w:tcW w:w="894" w:type="dxa"/>
            <w:noWrap w:val="0"/>
            <w:vAlign w:val="top"/>
          </w:tcPr>
          <w:p w14:paraId="70881EA8">
            <w:pPr>
              <w:widowControl w:val="0"/>
              <w:jc w:val="center"/>
              <w:rPr>
                <w:color w:val="auto"/>
                <w:highlight w:val="none"/>
                <w:vertAlign w:val="baseline"/>
              </w:rPr>
            </w:pPr>
          </w:p>
        </w:tc>
      </w:tr>
      <w:tr w14:paraId="1316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226462D7">
            <w:pPr>
              <w:widowControl/>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26</w:t>
            </w:r>
          </w:p>
        </w:tc>
        <w:tc>
          <w:tcPr>
            <w:tcW w:w="1342" w:type="dxa"/>
            <w:noWrap w:val="0"/>
            <w:vAlign w:val="center"/>
          </w:tcPr>
          <w:p w14:paraId="0BEA90FD">
            <w:pPr>
              <w:widowControl/>
              <w:jc w:val="center"/>
              <w:textAlignment w:val="center"/>
              <w:rPr>
                <w:color w:val="auto"/>
                <w:highlight w:val="none"/>
                <w:vertAlign w:val="baseline"/>
              </w:rPr>
            </w:pPr>
            <w:r>
              <w:rPr>
                <w:rFonts w:hint="eastAsia" w:ascii="宋体" w:hAnsi="宋体" w:eastAsia="宋体" w:cs="宋体"/>
                <w:color w:val="auto"/>
                <w:kern w:val="0"/>
                <w:sz w:val="22"/>
                <w:szCs w:val="22"/>
                <w:highlight w:val="none"/>
              </w:rPr>
              <w:t>超声波水位计</w:t>
            </w:r>
          </w:p>
        </w:tc>
        <w:tc>
          <w:tcPr>
            <w:tcW w:w="4836" w:type="dxa"/>
            <w:noWrap w:val="0"/>
            <w:vAlign w:val="top"/>
          </w:tcPr>
          <w:p w14:paraId="1C95501A">
            <w:pPr>
              <w:widowControl/>
              <w:jc w:val="left"/>
              <w:textAlignment w:val="top"/>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kern w:val="0"/>
                <w:sz w:val="22"/>
                <w:szCs w:val="22"/>
                <w:highlight w:val="none"/>
              </w:rPr>
              <w:t>量程：0.5～10 m；</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分辨率：≥0.25 mm；</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测量夹角：30°；</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工作温度：-45～50 ℃；</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输出信号：SDI-12；</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供电方式：锂电池供电；</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采样间隔：1小时（可设置）；</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数据传输：4G网络无线传输；</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数据存储：本机2 MB存储，服务器端无限量存储；</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系统配置：超声水位计一套、数采一套、支架一套。</w:t>
            </w:r>
          </w:p>
        </w:tc>
        <w:tc>
          <w:tcPr>
            <w:tcW w:w="709" w:type="dxa"/>
            <w:noWrap w:val="0"/>
            <w:vAlign w:val="center"/>
          </w:tcPr>
          <w:p w14:paraId="299AD334">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w:t>
            </w:r>
          </w:p>
        </w:tc>
        <w:tc>
          <w:tcPr>
            <w:tcW w:w="790" w:type="dxa"/>
            <w:noWrap w:val="0"/>
            <w:vAlign w:val="center"/>
          </w:tcPr>
          <w:p w14:paraId="69574B36">
            <w:pPr>
              <w:widowControl w:val="0"/>
              <w:jc w:val="center"/>
              <w:rPr>
                <w:color w:val="auto"/>
                <w:highlight w:val="none"/>
                <w:vertAlign w:val="baseline"/>
              </w:rPr>
            </w:pPr>
            <w:r>
              <w:rPr>
                <w:rFonts w:hint="eastAsia"/>
                <w:color w:val="auto"/>
                <w:highlight w:val="none"/>
                <w:vertAlign w:val="baseline"/>
                <w:lang w:val="en-US" w:eastAsia="zh-CN"/>
              </w:rPr>
              <w:t>台</w:t>
            </w:r>
          </w:p>
        </w:tc>
        <w:tc>
          <w:tcPr>
            <w:tcW w:w="894" w:type="dxa"/>
            <w:noWrap w:val="0"/>
            <w:vAlign w:val="top"/>
          </w:tcPr>
          <w:p w14:paraId="3424447C">
            <w:pPr>
              <w:widowControl w:val="0"/>
              <w:jc w:val="center"/>
              <w:rPr>
                <w:color w:val="auto"/>
                <w:highlight w:val="none"/>
                <w:vertAlign w:val="baseline"/>
              </w:rPr>
            </w:pPr>
          </w:p>
        </w:tc>
      </w:tr>
      <w:tr w14:paraId="1A01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5B389A29">
            <w:pPr>
              <w:widowControl/>
              <w:jc w:val="center"/>
              <w:textAlignment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27</w:t>
            </w:r>
          </w:p>
        </w:tc>
        <w:tc>
          <w:tcPr>
            <w:tcW w:w="1342" w:type="dxa"/>
            <w:noWrap w:val="0"/>
            <w:vAlign w:val="center"/>
          </w:tcPr>
          <w:p w14:paraId="0870FC0B">
            <w:pPr>
              <w:widowControl/>
              <w:jc w:val="center"/>
              <w:textAlignment w:val="center"/>
              <w:rPr>
                <w:color w:val="auto"/>
                <w:highlight w:val="none"/>
                <w:vertAlign w:val="baseline"/>
              </w:rPr>
            </w:pPr>
            <w:r>
              <w:rPr>
                <w:rFonts w:hint="eastAsia" w:ascii="宋体" w:hAnsi="宋体" w:eastAsia="宋体" w:cs="宋体"/>
                <w:color w:val="auto"/>
                <w:kern w:val="0"/>
                <w:sz w:val="22"/>
                <w:szCs w:val="22"/>
                <w:highlight w:val="none"/>
              </w:rPr>
              <w:t>自记式雨量筒</w:t>
            </w:r>
          </w:p>
        </w:tc>
        <w:tc>
          <w:tcPr>
            <w:tcW w:w="4836" w:type="dxa"/>
            <w:noWrap w:val="0"/>
            <w:vAlign w:val="top"/>
          </w:tcPr>
          <w:p w14:paraId="6C896A95">
            <w:pPr>
              <w:widowControl/>
              <w:jc w:val="left"/>
              <w:textAlignment w:val="top"/>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kern w:val="0"/>
                <w:sz w:val="22"/>
                <w:szCs w:val="22"/>
                <w:highlight w:val="none"/>
              </w:rPr>
              <w:t>量程：0～700mm/h；</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精度：±2%，分辨率：≥0.2mm；</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重量：约1kg；</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采样间隔：1s～1h，可根据需要设定；</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内存：2MB；</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时钟精度：±1min/月；</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供电：3.7V 4AH可充电电池。</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包含树干径流截取装置。</w:t>
            </w:r>
          </w:p>
        </w:tc>
        <w:tc>
          <w:tcPr>
            <w:tcW w:w="709" w:type="dxa"/>
            <w:noWrap w:val="0"/>
            <w:vAlign w:val="center"/>
          </w:tcPr>
          <w:p w14:paraId="6A295C0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4</w:t>
            </w:r>
          </w:p>
        </w:tc>
        <w:tc>
          <w:tcPr>
            <w:tcW w:w="790" w:type="dxa"/>
            <w:noWrap w:val="0"/>
            <w:vAlign w:val="center"/>
          </w:tcPr>
          <w:p w14:paraId="55E02C9B">
            <w:pPr>
              <w:widowControl w:val="0"/>
              <w:jc w:val="center"/>
              <w:rPr>
                <w:color w:val="auto"/>
                <w:highlight w:val="none"/>
                <w:vertAlign w:val="baseline"/>
              </w:rPr>
            </w:pPr>
            <w:r>
              <w:rPr>
                <w:rFonts w:hint="eastAsia"/>
                <w:color w:val="auto"/>
                <w:highlight w:val="none"/>
                <w:vertAlign w:val="baseline"/>
                <w:lang w:val="en-US" w:eastAsia="zh-CN"/>
              </w:rPr>
              <w:t>套</w:t>
            </w:r>
          </w:p>
        </w:tc>
        <w:tc>
          <w:tcPr>
            <w:tcW w:w="894" w:type="dxa"/>
            <w:noWrap w:val="0"/>
            <w:vAlign w:val="top"/>
          </w:tcPr>
          <w:p w14:paraId="08971F73">
            <w:pPr>
              <w:widowControl w:val="0"/>
              <w:jc w:val="center"/>
              <w:rPr>
                <w:color w:val="auto"/>
                <w:highlight w:val="none"/>
                <w:vertAlign w:val="baseline"/>
              </w:rPr>
            </w:pPr>
          </w:p>
        </w:tc>
      </w:tr>
    </w:tbl>
    <w:p w14:paraId="2A736111">
      <w:pPr>
        <w:keepNext w:val="0"/>
        <w:keepLines w:val="0"/>
        <w:pageBreakBefore w:val="0"/>
        <w:widowControl/>
        <w:kinsoku/>
        <w:wordWrap/>
        <w:overflowPunct/>
        <w:topLinePunct w:val="0"/>
        <w:autoSpaceDE/>
        <w:autoSpaceDN/>
        <w:bidi w:val="0"/>
        <w:adjustRightInd/>
        <w:snapToGrid/>
        <w:spacing w:before="0" w:after="0" w:line="360" w:lineRule="auto"/>
        <w:ind w:left="0" w:right="0" w:firstLine="400" w:firstLineChars="200"/>
        <w:jc w:val="both"/>
        <w:textAlignment w:val="auto"/>
        <w:rPr>
          <w:rFonts w:hint="default" w:ascii="宋体" w:hAnsi="宋体" w:eastAsia="宋体" w:cs="宋体"/>
          <w:b/>
          <w:bCs/>
          <w:strike w:val="0"/>
          <w:sz w:val="28"/>
          <w:szCs w:val="28"/>
          <w:highlight w:val="red"/>
          <w:u w:val="single"/>
          <w:lang w:val="en-US" w:eastAsia="zh-CN"/>
        </w:rPr>
      </w:pPr>
      <w:r>
        <w:rPr>
          <w:rFonts w:hint="eastAsia"/>
          <w:highlight w:val="yellow"/>
        </w:rPr>
        <w:t>本项目核心产品为：</w:t>
      </w:r>
      <w:r>
        <w:rPr>
          <w:rFonts w:hint="eastAsia"/>
          <w:highlight w:val="red"/>
          <w:lang w:val="en-US" w:eastAsia="zh-CN"/>
        </w:rPr>
        <w:t>机载雷达</w:t>
      </w:r>
    </w:p>
    <w:p w14:paraId="635DBA1B">
      <w:pPr>
        <w:keepNext w:val="0"/>
        <w:keepLines w:val="0"/>
        <w:pageBreakBefore w:val="0"/>
        <w:widowControl/>
        <w:kinsoku/>
        <w:wordWrap/>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b/>
          <w:bCs/>
          <w:strike w:val="0"/>
          <w:sz w:val="28"/>
          <w:szCs w:val="28"/>
          <w:highlight w:val="yellow"/>
          <w:u w:val="single"/>
          <w:lang w:val="en-US" w:eastAsia="zh-CN"/>
        </w:rPr>
      </w:pPr>
    </w:p>
    <w:p w14:paraId="67CFB2A7">
      <w:pPr>
        <w:keepNext w:val="0"/>
        <w:keepLines w:val="0"/>
        <w:pageBreakBefore w:val="0"/>
        <w:widowControl/>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宋体" w:hAnsi="宋体" w:eastAsia="宋体" w:cs="宋体"/>
          <w:strike w:val="0"/>
          <w:sz w:val="28"/>
          <w:szCs w:val="28"/>
          <w:highlight w:val="yellow"/>
          <w:lang w:val="en-US" w:eastAsia="zh-CN"/>
        </w:rPr>
      </w:pPr>
      <w:r>
        <w:rPr>
          <w:rFonts w:hint="eastAsia" w:ascii="宋体" w:hAnsi="宋体" w:eastAsia="宋体" w:cs="宋体"/>
          <w:b/>
          <w:bCs/>
          <w:strike w:val="0"/>
          <w:sz w:val="28"/>
          <w:szCs w:val="28"/>
          <w:highlight w:val="yellow"/>
          <w:u w:val="single"/>
          <w:lang w:val="en-US" w:eastAsia="zh-CN"/>
        </w:rPr>
        <w:t>注：</w:t>
      </w:r>
      <w:r>
        <w:rPr>
          <w:rFonts w:ascii="宋体" w:hAnsi="宋体" w:eastAsia="宋体" w:cs="宋体"/>
          <w:b/>
          <w:bCs/>
          <w:strike w:val="0"/>
          <w:sz w:val="28"/>
          <w:szCs w:val="28"/>
          <w:highlight w:val="yellow"/>
          <w:u w:val="single"/>
        </w:rPr>
        <w:t>对于上述项目要求，投标人应在投标文件中进行</w:t>
      </w:r>
      <w:r>
        <w:rPr>
          <w:rFonts w:hint="eastAsia" w:ascii="宋体" w:hAnsi="宋体" w:eastAsia="宋体" w:cs="宋体"/>
          <w:b/>
          <w:bCs/>
          <w:strike w:val="0"/>
          <w:sz w:val="28"/>
          <w:szCs w:val="28"/>
          <w:highlight w:val="yellow"/>
          <w:u w:val="single"/>
          <w:lang w:val="en-US" w:eastAsia="zh-CN"/>
        </w:rPr>
        <w:t>实质性响应</w:t>
      </w:r>
      <w:r>
        <w:rPr>
          <w:rFonts w:ascii="宋体" w:hAnsi="宋体" w:eastAsia="宋体" w:cs="宋体"/>
          <w:b/>
          <w:bCs/>
          <w:strike w:val="0"/>
          <w:sz w:val="28"/>
          <w:szCs w:val="28"/>
          <w:highlight w:val="yellow"/>
          <w:u w:val="single"/>
        </w:rPr>
        <w:t>，</w:t>
      </w:r>
      <w:r>
        <w:rPr>
          <w:rFonts w:hint="eastAsia" w:ascii="宋体" w:hAnsi="宋体" w:eastAsia="宋体" w:cs="宋体"/>
          <w:b/>
          <w:bCs/>
          <w:strike w:val="0"/>
          <w:sz w:val="28"/>
          <w:szCs w:val="28"/>
          <w:highlight w:val="yellow"/>
          <w:u w:val="single"/>
          <w:lang w:val="en-US" w:eastAsia="zh-CN"/>
        </w:rPr>
        <w:t>或作</w:t>
      </w:r>
      <w:r>
        <w:rPr>
          <w:rFonts w:ascii="宋体" w:hAnsi="宋体" w:eastAsia="宋体" w:cs="宋体"/>
          <w:b/>
          <w:bCs/>
          <w:strike w:val="0"/>
          <w:sz w:val="28"/>
          <w:szCs w:val="28"/>
          <w:highlight w:val="yellow"/>
          <w:u w:val="single"/>
        </w:rPr>
        <w:t>出承诺及说明</w:t>
      </w:r>
      <w:r>
        <w:rPr>
          <w:rFonts w:hint="eastAsia" w:ascii="宋体" w:hAnsi="宋体" w:eastAsia="宋体" w:cs="宋体"/>
          <w:b/>
          <w:bCs/>
          <w:strike w:val="0"/>
          <w:sz w:val="28"/>
          <w:szCs w:val="28"/>
          <w:highlight w:val="yellow"/>
          <w:u w:val="single"/>
          <w:lang w:eastAsia="zh-CN"/>
        </w:rPr>
        <w:t>。</w:t>
      </w:r>
    </w:p>
    <w:p w14:paraId="1D3D2F4F">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eastAsia" w:ascii="宋体" w:hAnsi="宋体"/>
          <w:kern w:val="0"/>
          <w:sz w:val="24"/>
          <w:szCs w:val="24"/>
          <w:highlight w:val="yellow"/>
          <w:u w:val="none"/>
          <w:lang w:val="en-US" w:eastAsia="zh-CN"/>
        </w:rPr>
      </w:pPr>
    </w:p>
    <w:p w14:paraId="2B656524">
      <w:pPr>
        <w:widowControl/>
        <w:ind w:firstLine="560" w:firstLineChars="200"/>
        <w:jc w:val="left"/>
        <w:rPr>
          <w:rFonts w:hint="eastAsia" w:ascii="仿宋" w:hAnsi="仿宋" w:eastAsia="仿宋" w:cs="仿宋"/>
          <w:kern w:val="0"/>
          <w:sz w:val="28"/>
          <w:szCs w:val="28"/>
          <w:highlight w:val="yellow"/>
          <w:lang w:val="en-US" w:eastAsia="zh-CN" w:bidi="ar"/>
        </w:rPr>
      </w:pPr>
    </w:p>
    <w:p w14:paraId="421C8E78">
      <w:pPr>
        <w:widowControl/>
        <w:ind w:firstLine="560" w:firstLineChars="200"/>
        <w:jc w:val="left"/>
        <w:rPr>
          <w:rFonts w:hint="eastAsia" w:ascii="仿宋" w:hAnsi="仿宋" w:eastAsia="仿宋" w:cs="仿宋"/>
          <w:kern w:val="0"/>
          <w:sz w:val="28"/>
          <w:szCs w:val="28"/>
          <w:highlight w:val="yellow"/>
          <w:lang w:val="en-US" w:eastAsia="zh-CN" w:bidi="ar"/>
        </w:rPr>
      </w:pPr>
    </w:p>
    <w:p w14:paraId="47BE84F1">
      <w:pPr>
        <w:widowControl/>
        <w:ind w:firstLine="560" w:firstLineChars="200"/>
        <w:jc w:val="left"/>
        <w:rPr>
          <w:rFonts w:hint="eastAsia" w:ascii="仿宋" w:hAnsi="仿宋" w:eastAsia="仿宋" w:cs="仿宋"/>
          <w:kern w:val="0"/>
          <w:sz w:val="28"/>
          <w:szCs w:val="28"/>
          <w:highlight w:val="yellow"/>
          <w:lang w:val="en-US" w:eastAsia="zh-CN" w:bidi="ar"/>
        </w:rPr>
      </w:pPr>
    </w:p>
    <w:p w14:paraId="54FE7C26">
      <w:pPr>
        <w:widowControl/>
        <w:ind w:firstLine="560" w:firstLineChars="200"/>
        <w:jc w:val="left"/>
        <w:rPr>
          <w:rFonts w:hint="eastAsia" w:ascii="仿宋" w:hAnsi="仿宋" w:eastAsia="仿宋" w:cs="仿宋"/>
          <w:kern w:val="0"/>
          <w:sz w:val="28"/>
          <w:szCs w:val="28"/>
          <w:highlight w:val="yellow"/>
          <w:lang w:val="en-US" w:eastAsia="zh-CN" w:bidi="ar"/>
        </w:rPr>
      </w:pPr>
    </w:p>
    <w:p w14:paraId="514D2D1B">
      <w:pPr>
        <w:widowControl/>
        <w:ind w:firstLine="560" w:firstLineChars="200"/>
        <w:jc w:val="left"/>
        <w:rPr>
          <w:rFonts w:hint="eastAsia" w:ascii="仿宋" w:hAnsi="仿宋" w:eastAsia="仿宋" w:cs="仿宋"/>
          <w:kern w:val="0"/>
          <w:sz w:val="28"/>
          <w:szCs w:val="28"/>
          <w:highlight w:val="yellow"/>
          <w:lang w:val="en-US" w:eastAsia="zh-CN" w:bidi="ar"/>
        </w:rPr>
      </w:pPr>
    </w:p>
    <w:p w14:paraId="4E19A925">
      <w:pPr>
        <w:pStyle w:val="18"/>
        <w:rPr>
          <w:rFonts w:hint="eastAsia" w:ascii="仿宋" w:hAnsi="仿宋" w:eastAsia="仿宋" w:cs="仿宋"/>
          <w:kern w:val="0"/>
          <w:sz w:val="28"/>
          <w:szCs w:val="28"/>
          <w:highlight w:val="yellow"/>
          <w:lang w:val="en-US" w:eastAsia="zh-CN" w:bidi="ar"/>
        </w:rPr>
      </w:pPr>
    </w:p>
    <w:p w14:paraId="029BD2A2">
      <w:pPr>
        <w:pStyle w:val="18"/>
        <w:rPr>
          <w:rFonts w:hint="eastAsia" w:ascii="仿宋" w:hAnsi="仿宋" w:eastAsia="仿宋" w:cs="仿宋"/>
          <w:kern w:val="0"/>
          <w:sz w:val="28"/>
          <w:szCs w:val="28"/>
          <w:highlight w:val="yellow"/>
          <w:lang w:val="en-US" w:eastAsia="zh-CN" w:bidi="ar"/>
        </w:rPr>
      </w:pPr>
    </w:p>
    <w:p w14:paraId="45C9AC71">
      <w:pPr>
        <w:pStyle w:val="18"/>
        <w:rPr>
          <w:rFonts w:hint="eastAsia" w:ascii="仿宋" w:hAnsi="仿宋" w:eastAsia="仿宋" w:cs="仿宋"/>
          <w:kern w:val="0"/>
          <w:sz w:val="28"/>
          <w:szCs w:val="28"/>
          <w:highlight w:val="yellow"/>
          <w:lang w:val="en-US" w:eastAsia="zh-CN" w:bidi="ar"/>
        </w:rPr>
      </w:pPr>
    </w:p>
    <w:p w14:paraId="69BC123E">
      <w:pPr>
        <w:pStyle w:val="18"/>
        <w:rPr>
          <w:rFonts w:hint="eastAsia" w:ascii="仿宋" w:hAnsi="仿宋" w:eastAsia="仿宋" w:cs="仿宋"/>
          <w:kern w:val="0"/>
          <w:sz w:val="28"/>
          <w:szCs w:val="28"/>
          <w:highlight w:val="yellow"/>
          <w:lang w:val="en-US" w:eastAsia="zh-CN" w:bidi="ar"/>
        </w:rPr>
      </w:pPr>
    </w:p>
    <w:p w14:paraId="2C76D126">
      <w:pPr>
        <w:pStyle w:val="18"/>
        <w:rPr>
          <w:rFonts w:hint="eastAsia" w:ascii="仿宋" w:hAnsi="仿宋" w:eastAsia="仿宋" w:cs="仿宋"/>
          <w:kern w:val="0"/>
          <w:sz w:val="28"/>
          <w:szCs w:val="28"/>
          <w:highlight w:val="yellow"/>
          <w:lang w:val="en-US" w:eastAsia="zh-CN" w:bidi="ar"/>
        </w:rPr>
      </w:pPr>
    </w:p>
    <w:p w14:paraId="469631D7">
      <w:pPr>
        <w:pStyle w:val="18"/>
        <w:rPr>
          <w:rFonts w:hint="eastAsia" w:ascii="仿宋" w:hAnsi="仿宋" w:eastAsia="仿宋" w:cs="仿宋"/>
          <w:kern w:val="0"/>
          <w:sz w:val="28"/>
          <w:szCs w:val="28"/>
          <w:highlight w:val="yellow"/>
          <w:lang w:val="en-US" w:eastAsia="zh-CN" w:bidi="ar"/>
        </w:rPr>
      </w:pPr>
    </w:p>
    <w:p w14:paraId="5C605CD1">
      <w:pPr>
        <w:pStyle w:val="18"/>
        <w:rPr>
          <w:rFonts w:hint="eastAsia" w:ascii="仿宋" w:hAnsi="仿宋" w:eastAsia="仿宋" w:cs="仿宋"/>
          <w:kern w:val="0"/>
          <w:sz w:val="28"/>
          <w:szCs w:val="28"/>
          <w:highlight w:val="yellow"/>
          <w:lang w:val="en-US" w:eastAsia="zh-CN" w:bidi="ar"/>
        </w:rPr>
      </w:pPr>
    </w:p>
    <w:p w14:paraId="2B1BBE4F">
      <w:pPr>
        <w:pStyle w:val="4"/>
        <w:keepNext/>
        <w:keepLines/>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第五部分  合同格式</w:t>
      </w:r>
      <w:bookmarkEnd w:id="44"/>
    </w:p>
    <w:p w14:paraId="3E06BEC8">
      <w:pPr>
        <w:pStyle w:val="3"/>
        <w:spacing w:after="0"/>
        <w:jc w:val="center"/>
        <w:rPr>
          <w:rFonts w:hint="eastAsia" w:ascii="宋体" w:hAnsi="宋体" w:cs="宋体"/>
          <w:b/>
          <w:bCs/>
          <w:spacing w:val="-20"/>
          <w:kern w:val="44"/>
          <w:sz w:val="48"/>
          <w:szCs w:val="48"/>
          <w:highlight w:val="none"/>
        </w:rPr>
      </w:pPr>
      <w:r>
        <w:rPr>
          <w:rFonts w:hint="eastAsia" w:ascii="宋体" w:hAnsi="宋体" w:cs="宋体"/>
          <w:b/>
          <w:bCs/>
          <w:spacing w:val="-20"/>
          <w:kern w:val="44"/>
          <w:sz w:val="48"/>
          <w:szCs w:val="48"/>
          <w:highlight w:val="none"/>
        </w:rPr>
        <w:t>政府采购</w:t>
      </w:r>
      <w:r>
        <w:rPr>
          <w:rFonts w:hint="eastAsia" w:ascii="宋体" w:hAnsi="宋体" w:cs="宋体"/>
          <w:b/>
          <w:bCs/>
          <w:spacing w:val="-20"/>
          <w:kern w:val="44"/>
          <w:sz w:val="48"/>
          <w:szCs w:val="48"/>
          <w:highlight w:val="none"/>
          <w:lang w:eastAsia="zh-CN"/>
        </w:rPr>
        <w:t>货物买卖</w:t>
      </w:r>
      <w:r>
        <w:rPr>
          <w:rFonts w:hint="eastAsia" w:ascii="宋体" w:hAnsi="宋体" w:cs="宋体"/>
          <w:b/>
          <w:bCs/>
          <w:spacing w:val="-20"/>
          <w:kern w:val="44"/>
          <w:sz w:val="48"/>
          <w:szCs w:val="48"/>
          <w:highlight w:val="none"/>
        </w:rPr>
        <w:t>合同</w:t>
      </w:r>
    </w:p>
    <w:p w14:paraId="020D80B0">
      <w:pPr>
        <w:pStyle w:val="3"/>
        <w:spacing w:after="0"/>
        <w:jc w:val="center"/>
        <w:rPr>
          <w:rFonts w:hint="eastAsia" w:ascii="宋体" w:hAnsi="宋体" w:eastAsia="宋体" w:cs="宋体"/>
          <w:b/>
          <w:bCs/>
          <w:spacing w:val="-20"/>
          <w:kern w:val="44"/>
          <w:sz w:val="48"/>
          <w:szCs w:val="48"/>
          <w:highlight w:val="none"/>
          <w:lang w:eastAsia="zh-CN"/>
        </w:rPr>
      </w:pPr>
      <w:r>
        <w:rPr>
          <w:rFonts w:hint="eastAsia" w:ascii="宋体" w:hAnsi="宋体" w:cs="宋体"/>
          <w:b/>
          <w:bCs/>
          <w:spacing w:val="-20"/>
          <w:kern w:val="44"/>
          <w:sz w:val="48"/>
          <w:szCs w:val="48"/>
          <w:highlight w:val="none"/>
          <w:lang w:eastAsia="zh-CN"/>
        </w:rPr>
        <w:t>（试行）</w:t>
      </w:r>
    </w:p>
    <w:p w14:paraId="32CD4F80">
      <w:pPr>
        <w:rPr>
          <w:rFonts w:ascii="宋体" w:hAnsi="宋体" w:cs="宋体"/>
          <w:b/>
          <w:bCs/>
          <w:spacing w:val="-20"/>
          <w:kern w:val="44"/>
          <w:sz w:val="40"/>
          <w:szCs w:val="40"/>
          <w:highlight w:val="none"/>
        </w:rPr>
      </w:pPr>
    </w:p>
    <w:p w14:paraId="7B23D2E0">
      <w:pPr>
        <w:rPr>
          <w:rFonts w:ascii="宋体" w:hAnsi="宋体" w:cs="宋体"/>
          <w:b/>
          <w:bCs/>
          <w:spacing w:val="-20"/>
          <w:kern w:val="44"/>
          <w:sz w:val="40"/>
          <w:szCs w:val="40"/>
          <w:highlight w:val="none"/>
        </w:rPr>
      </w:pPr>
    </w:p>
    <w:p w14:paraId="3030FAFF">
      <w:pPr>
        <w:rPr>
          <w:rFonts w:ascii="宋体" w:hAnsi="宋体" w:cs="宋体"/>
          <w:b/>
          <w:bCs/>
          <w:spacing w:val="-20"/>
          <w:kern w:val="44"/>
          <w:sz w:val="40"/>
          <w:szCs w:val="40"/>
          <w:highlight w:val="none"/>
        </w:rPr>
      </w:pPr>
    </w:p>
    <w:p w14:paraId="24A19B0F">
      <w:pPr>
        <w:spacing w:line="360" w:lineRule="auto"/>
        <w:ind w:left="400" w:leftChars="200"/>
        <w:rPr>
          <w:sz w:val="32"/>
          <w:szCs w:val="32"/>
          <w:highlight w:val="none"/>
        </w:rPr>
      </w:pPr>
      <w:r>
        <w:rPr>
          <w:rFonts w:hint="eastAsia" w:ascii="宋体" w:hAnsi="宋体" w:cs="宋体"/>
          <w:kern w:val="0"/>
          <w:sz w:val="32"/>
          <w:szCs w:val="32"/>
          <w:highlight w:val="none"/>
        </w:rPr>
        <w:t>项目名称：</w:t>
      </w:r>
      <w:r>
        <w:rPr>
          <w:rFonts w:hint="eastAsia"/>
          <w:sz w:val="32"/>
          <w:szCs w:val="32"/>
          <w:highlight w:val="none"/>
          <w:u w:val="single"/>
        </w:rPr>
        <w:t xml:space="preserve">                             </w:t>
      </w:r>
    </w:p>
    <w:p w14:paraId="17399C7D">
      <w:pPr>
        <w:spacing w:line="360" w:lineRule="auto"/>
        <w:ind w:left="400" w:leftChars="200"/>
        <w:rPr>
          <w:sz w:val="32"/>
          <w:szCs w:val="32"/>
          <w:highlight w:val="none"/>
          <w:u w:val="single"/>
        </w:rPr>
      </w:pPr>
      <w:r>
        <w:rPr>
          <w:rFonts w:hint="eastAsia"/>
          <w:sz w:val="32"/>
          <w:szCs w:val="32"/>
          <w:highlight w:val="none"/>
        </w:rPr>
        <w:t>合同编号：</w:t>
      </w:r>
      <w:r>
        <w:rPr>
          <w:rFonts w:hint="eastAsia"/>
          <w:sz w:val="32"/>
          <w:szCs w:val="32"/>
          <w:highlight w:val="none"/>
          <w:u w:val="single"/>
        </w:rPr>
        <w:t xml:space="preserve">                             </w:t>
      </w:r>
    </w:p>
    <w:p w14:paraId="48252E25">
      <w:pPr>
        <w:spacing w:line="360" w:lineRule="auto"/>
        <w:ind w:left="400" w:leftChars="200"/>
        <w:rPr>
          <w:sz w:val="32"/>
          <w:szCs w:val="32"/>
          <w:highlight w:val="none"/>
        </w:rPr>
      </w:pPr>
      <w:r>
        <w:rPr>
          <w:rFonts w:hint="eastAsia"/>
          <w:sz w:val="32"/>
          <w:szCs w:val="32"/>
          <w:highlight w:val="none"/>
        </w:rPr>
        <w:t>甲    方：</w:t>
      </w:r>
      <w:r>
        <w:rPr>
          <w:rFonts w:hint="eastAsia"/>
          <w:sz w:val="32"/>
          <w:szCs w:val="32"/>
          <w:highlight w:val="none"/>
          <w:u w:val="single"/>
        </w:rPr>
        <w:t xml:space="preserve">                             </w:t>
      </w:r>
    </w:p>
    <w:p w14:paraId="2E4E4CF7">
      <w:pPr>
        <w:spacing w:line="360" w:lineRule="auto"/>
        <w:ind w:left="400" w:leftChars="200"/>
        <w:rPr>
          <w:sz w:val="32"/>
          <w:szCs w:val="32"/>
          <w:highlight w:val="none"/>
          <w:u w:val="single"/>
        </w:rPr>
      </w:pPr>
      <w:r>
        <w:rPr>
          <w:rFonts w:hint="eastAsia"/>
          <w:sz w:val="32"/>
          <w:szCs w:val="32"/>
          <w:highlight w:val="none"/>
        </w:rPr>
        <w:t>乙    方：</w:t>
      </w:r>
      <w:r>
        <w:rPr>
          <w:rFonts w:hint="eastAsia"/>
          <w:sz w:val="32"/>
          <w:szCs w:val="32"/>
          <w:highlight w:val="none"/>
          <w:u w:val="single"/>
        </w:rPr>
        <w:t xml:space="preserve">                             </w:t>
      </w:r>
    </w:p>
    <w:p w14:paraId="33507DC8">
      <w:pPr>
        <w:spacing w:line="360" w:lineRule="auto"/>
        <w:ind w:left="400" w:leftChars="200"/>
        <w:rPr>
          <w:sz w:val="32"/>
          <w:szCs w:val="32"/>
          <w:highlight w:val="none"/>
        </w:rPr>
      </w:pPr>
      <w:r>
        <w:rPr>
          <w:rFonts w:hint="eastAsia"/>
          <w:sz w:val="32"/>
          <w:szCs w:val="32"/>
          <w:highlight w:val="none"/>
        </w:rPr>
        <w:t>签订时间：</w:t>
      </w:r>
      <w:r>
        <w:rPr>
          <w:rFonts w:hint="eastAsia"/>
          <w:sz w:val="32"/>
          <w:szCs w:val="32"/>
          <w:highlight w:val="none"/>
          <w:u w:val="single"/>
        </w:rPr>
        <w:t xml:space="preserve">      </w:t>
      </w:r>
      <w:r>
        <w:rPr>
          <w:sz w:val="32"/>
          <w:szCs w:val="32"/>
          <w:highlight w:val="none"/>
          <w:u w:val="single"/>
        </w:rPr>
        <w:t xml:space="preserve">           </w:t>
      </w:r>
      <w:r>
        <w:rPr>
          <w:rFonts w:hint="eastAsia"/>
          <w:sz w:val="32"/>
          <w:szCs w:val="32"/>
          <w:highlight w:val="none"/>
          <w:u w:val="single"/>
        </w:rPr>
        <w:t xml:space="preserve">            </w:t>
      </w:r>
    </w:p>
    <w:p w14:paraId="53181600">
      <w:pPr>
        <w:jc w:val="center"/>
        <w:rPr>
          <w:rFonts w:hint="eastAsia" w:eastAsia="黑体"/>
          <w:sz w:val="44"/>
          <w:szCs w:val="44"/>
          <w:highlight w:val="none"/>
          <w:lang w:eastAsia="zh-CN"/>
        </w:rPr>
      </w:pPr>
      <w:r>
        <w:rPr>
          <w:rFonts w:eastAsia="黑体"/>
          <w:sz w:val="44"/>
          <w:szCs w:val="44"/>
          <w:highlight w:val="none"/>
        </w:rPr>
        <w:br w:type="page"/>
      </w:r>
      <w:r>
        <w:rPr>
          <w:rFonts w:hint="eastAsia" w:eastAsia="黑体"/>
          <w:sz w:val="44"/>
          <w:szCs w:val="44"/>
          <w:highlight w:val="none"/>
          <w:lang w:eastAsia="zh-CN"/>
        </w:rPr>
        <w:t>使</w:t>
      </w:r>
      <w:r>
        <w:rPr>
          <w:rFonts w:hint="eastAsia" w:eastAsia="黑体"/>
          <w:sz w:val="44"/>
          <w:szCs w:val="44"/>
          <w:highlight w:val="none"/>
          <w:lang w:val="en-US" w:eastAsia="zh-CN"/>
        </w:rPr>
        <w:t xml:space="preserve"> </w:t>
      </w:r>
      <w:r>
        <w:rPr>
          <w:rFonts w:hint="eastAsia" w:eastAsia="黑体"/>
          <w:sz w:val="44"/>
          <w:szCs w:val="44"/>
          <w:highlight w:val="none"/>
          <w:lang w:eastAsia="zh-CN"/>
        </w:rPr>
        <w:t>用</w:t>
      </w:r>
      <w:r>
        <w:rPr>
          <w:rFonts w:hint="eastAsia" w:eastAsia="黑体"/>
          <w:sz w:val="44"/>
          <w:szCs w:val="44"/>
          <w:highlight w:val="none"/>
          <w:lang w:val="en-US" w:eastAsia="zh-CN"/>
        </w:rPr>
        <w:t xml:space="preserve"> </w:t>
      </w:r>
      <w:r>
        <w:rPr>
          <w:rFonts w:hint="eastAsia" w:eastAsia="黑体"/>
          <w:sz w:val="44"/>
          <w:szCs w:val="44"/>
          <w:highlight w:val="none"/>
          <w:lang w:eastAsia="zh-CN"/>
        </w:rPr>
        <w:t>说</w:t>
      </w:r>
      <w:r>
        <w:rPr>
          <w:rFonts w:hint="eastAsia" w:eastAsia="黑体"/>
          <w:sz w:val="44"/>
          <w:szCs w:val="44"/>
          <w:highlight w:val="none"/>
          <w:lang w:val="en-US" w:eastAsia="zh-CN"/>
        </w:rPr>
        <w:t xml:space="preserve"> </w:t>
      </w:r>
      <w:r>
        <w:rPr>
          <w:rFonts w:hint="eastAsia" w:eastAsia="黑体"/>
          <w:sz w:val="44"/>
          <w:szCs w:val="44"/>
          <w:highlight w:val="none"/>
          <w:lang w:eastAsia="zh-CN"/>
        </w:rPr>
        <w:t>明</w:t>
      </w:r>
    </w:p>
    <w:p w14:paraId="50AE2E76">
      <w:pPr>
        <w:ind w:firstLine="640" w:firstLineChars="200"/>
        <w:rPr>
          <w:rFonts w:hint="eastAsia" w:ascii="仿宋_GB2312" w:hAnsi="仿宋_GB2312" w:eastAsia="仿宋_GB2312" w:cs="仿宋_GB2312"/>
          <w:sz w:val="32"/>
          <w:szCs w:val="32"/>
          <w:highlight w:val="none"/>
          <w:lang w:val="en-US" w:eastAsia="zh-CN"/>
        </w:rPr>
      </w:pPr>
    </w:p>
    <w:p w14:paraId="393F0BAB">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1.本合同标准文本适用于购买现成货物的采购项目，不包括需要供应商定制开发、创新研发的货物采购项目。</w:t>
      </w:r>
    </w:p>
    <w:p w14:paraId="5E35ED9D">
      <w:pPr>
        <w:ind w:firstLine="0" w:firstLineChars="0"/>
        <w:rPr>
          <w:rFonts w:hint="default" w:eastAsia="黑体"/>
          <w:sz w:val="44"/>
          <w:szCs w:val="44"/>
          <w:highlight w:val="none"/>
          <w:lang w:val="en-US" w:eastAsia="zh-CN"/>
        </w:rPr>
      </w:pPr>
      <w:r>
        <w:rPr>
          <w:rFonts w:hint="eastAsia" w:eastAsia="黑体"/>
          <w:sz w:val="44"/>
          <w:szCs w:val="44"/>
          <w:highlight w:val="none"/>
          <w:lang w:val="en-US" w:eastAsia="zh-CN"/>
        </w:rPr>
        <w:t xml:space="preserve">   </w:t>
      </w:r>
      <w:r>
        <w:rPr>
          <w:rFonts w:hint="eastAsia" w:ascii="仿宋_GB2312" w:hAnsi="仿宋_GB2312" w:eastAsia="仿宋_GB2312" w:cs="仿宋_GB2312"/>
          <w:sz w:val="32"/>
          <w:szCs w:val="32"/>
          <w:highlight w:val="none"/>
          <w:lang w:val="en-US" w:eastAsia="zh-CN"/>
        </w:rPr>
        <w:t>2.本合同标准文本为政府采购货物买卖合同编制提供参考，可以结合采购项目具体情况，对文本作必要的调整修订后使用。</w:t>
      </w:r>
    </w:p>
    <w:p w14:paraId="13F9287E">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3.本合同标准文本各条款中，如涉及填写多家供应商、制造商，多种采购标的、分包主要内容等信息的，可根据采购项目具体情况添加信息项。</w:t>
      </w:r>
    </w:p>
    <w:p w14:paraId="08704FDD">
      <w:pPr>
        <w:ind w:firstLine="880" w:firstLineChars="200"/>
        <w:jc w:val="both"/>
        <w:rPr>
          <w:rFonts w:eastAsia="黑体"/>
          <w:sz w:val="44"/>
          <w:szCs w:val="44"/>
          <w:highlight w:val="none"/>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3755238">
      <w:pPr>
        <w:pStyle w:val="5"/>
        <w:adjustRightInd w:val="0"/>
        <w:snapToGrid w:val="0"/>
        <w:spacing w:beforeLines="0" w:line="400" w:lineRule="exact"/>
        <w:jc w:val="center"/>
        <w:rPr>
          <w:rFonts w:hint="eastAsia" w:ascii="黑体" w:hAnsi="华文中宋" w:eastAsia="黑体"/>
          <w:b w:val="0"/>
          <w:bCs w:val="0"/>
          <w:sz w:val="28"/>
          <w:szCs w:val="28"/>
          <w:highlight w:val="none"/>
        </w:rPr>
      </w:pPr>
      <w:bookmarkStart w:id="45" w:name="_Toc22209"/>
      <w:r>
        <w:rPr>
          <w:rFonts w:hint="eastAsia" w:ascii="黑体" w:hAnsi="黑体" w:eastAsia="黑体"/>
          <w:b w:val="0"/>
          <w:bCs w:val="0"/>
          <w:sz w:val="28"/>
          <w:szCs w:val="28"/>
          <w:highlight w:val="none"/>
        </w:rPr>
        <w:t xml:space="preserve">第一节 </w:t>
      </w:r>
      <w:r>
        <w:rPr>
          <w:rFonts w:hint="eastAsia" w:ascii="黑体" w:hAnsi="华文中宋" w:eastAsia="黑体"/>
          <w:b w:val="0"/>
          <w:bCs w:val="0"/>
          <w:sz w:val="28"/>
          <w:szCs w:val="28"/>
          <w:highlight w:val="none"/>
        </w:rPr>
        <w:t>政府采购合同协议书</w:t>
      </w:r>
      <w:bookmarkEnd w:id="45"/>
    </w:p>
    <w:p w14:paraId="13514DCC">
      <w:pPr>
        <w:adjustRightInd w:val="0"/>
        <w:snapToGrid w:val="0"/>
        <w:spacing w:before="0" w:beforeLines="0" w:line="400" w:lineRule="exact"/>
        <w:rPr>
          <w:rFonts w:hint="eastAsia" w:ascii="宋体" w:hAnsi="宋体"/>
          <w:szCs w:val="21"/>
          <w:highlight w:val="none"/>
          <w:lang w:val="en-US" w:eastAsia="zh-CN"/>
        </w:rPr>
      </w:pPr>
      <w:r>
        <w:rPr>
          <w:rFonts w:hint="eastAsia" w:ascii="宋体" w:hAnsi="宋体"/>
          <w:szCs w:val="21"/>
          <w:highlight w:val="none"/>
        </w:rPr>
        <w:t>甲方（全称）：</w:t>
      </w:r>
      <w:r>
        <w:rPr>
          <w:rFonts w:hint="eastAsia" w:ascii="宋体" w:hAnsi="宋体"/>
          <w:szCs w:val="21"/>
          <w:highlight w:val="none"/>
          <w:u w:val="single"/>
        </w:rPr>
        <w:t xml:space="preserve">                        </w:t>
      </w:r>
      <w:r>
        <w:rPr>
          <w:rFonts w:hint="eastAsia" w:ascii="宋体" w:hAnsi="宋体"/>
          <w:szCs w:val="21"/>
          <w:highlight w:val="none"/>
        </w:rPr>
        <w:t>（采购人</w:t>
      </w:r>
      <w:r>
        <w:rPr>
          <w:rFonts w:hint="eastAsia" w:ascii="宋体" w:hAnsi="宋体"/>
          <w:szCs w:val="21"/>
          <w:highlight w:val="none"/>
          <w:lang w:eastAsia="zh-CN"/>
        </w:rPr>
        <w:t>、受采购人委托签订合同的单位</w:t>
      </w:r>
      <w:r>
        <w:rPr>
          <w:rFonts w:hint="eastAsia" w:ascii="宋体" w:hAnsi="宋体"/>
          <w:szCs w:val="21"/>
          <w:highlight w:val="none"/>
        </w:rPr>
        <w:t>或采购</w:t>
      </w:r>
      <w:r>
        <w:rPr>
          <w:rFonts w:hint="eastAsia" w:ascii="宋体" w:hAnsi="宋体"/>
          <w:szCs w:val="21"/>
          <w:highlight w:val="none"/>
          <w:lang w:val="en-US" w:eastAsia="zh-CN"/>
        </w:rPr>
        <w:tab/>
      </w:r>
    </w:p>
    <w:p w14:paraId="47246041">
      <w:pPr>
        <w:adjustRightInd w:val="0"/>
        <w:snapToGrid w:val="0"/>
        <w:spacing w:before="0" w:beforeLines="0" w:line="400" w:lineRule="exact"/>
        <w:rPr>
          <w:rFonts w:ascii="宋体" w:hAnsi="宋体"/>
          <w:szCs w:val="21"/>
          <w:highlight w:val="none"/>
        </w:rPr>
      </w:pPr>
      <w:r>
        <w:rPr>
          <w:rFonts w:hint="eastAsia" w:ascii="宋体" w:hAnsi="宋体"/>
          <w:szCs w:val="21"/>
          <w:highlight w:val="none"/>
        </w:rPr>
        <w:t>文件约定的合同甲方）</w:t>
      </w:r>
    </w:p>
    <w:p w14:paraId="30894058">
      <w:pPr>
        <w:adjustRightInd w:val="0"/>
        <w:snapToGrid w:val="0"/>
        <w:spacing w:before="0" w:beforeLines="0" w:line="400" w:lineRule="exact"/>
        <w:rPr>
          <w:rFonts w:ascii="宋体" w:hAnsi="宋体"/>
          <w:szCs w:val="21"/>
          <w:highlight w:val="none"/>
        </w:rPr>
      </w:pPr>
      <w:r>
        <w:rPr>
          <w:rFonts w:hint="eastAsia" w:ascii="宋体" w:hAnsi="宋体"/>
          <w:szCs w:val="21"/>
          <w:highlight w:val="none"/>
        </w:rPr>
        <w:t>乙方</w:t>
      </w:r>
      <w:r>
        <w:rPr>
          <w:rFonts w:hint="eastAsia" w:ascii="宋体" w:hAnsi="宋体"/>
          <w:szCs w:val="21"/>
          <w:highlight w:val="none"/>
          <w:lang w:val="en-US" w:eastAsia="zh-CN"/>
        </w:rPr>
        <w:t>1</w:t>
      </w:r>
      <w:r>
        <w:rPr>
          <w:rFonts w:hint="eastAsia" w:ascii="宋体" w:hAnsi="宋体"/>
          <w:szCs w:val="21"/>
          <w:highlight w:val="none"/>
        </w:rPr>
        <w:t>（全称）：</w:t>
      </w:r>
      <w:r>
        <w:rPr>
          <w:rFonts w:hint="eastAsia" w:ascii="宋体" w:hAnsi="宋体"/>
          <w:szCs w:val="21"/>
          <w:highlight w:val="none"/>
          <w:u w:val="single"/>
        </w:rPr>
        <w:t xml:space="preserve">                       </w:t>
      </w:r>
      <w:r>
        <w:rPr>
          <w:rFonts w:hint="eastAsia" w:ascii="宋体" w:hAnsi="宋体"/>
          <w:szCs w:val="21"/>
          <w:highlight w:val="none"/>
        </w:rPr>
        <w:t>（供应商）</w:t>
      </w:r>
    </w:p>
    <w:p w14:paraId="259B5453">
      <w:pPr>
        <w:adjustRightInd w:val="0"/>
        <w:snapToGrid w:val="0"/>
        <w:spacing w:before="0" w:beforeLines="0" w:line="400" w:lineRule="exact"/>
        <w:rPr>
          <w:rFonts w:hint="eastAsia" w:ascii="宋体" w:hAnsi="宋体"/>
          <w:szCs w:val="21"/>
          <w:highlight w:val="none"/>
        </w:rPr>
      </w:pPr>
      <w:r>
        <w:rPr>
          <w:rFonts w:hint="eastAsia" w:ascii="宋体" w:hAnsi="宋体"/>
          <w:szCs w:val="21"/>
          <w:highlight w:val="none"/>
        </w:rPr>
        <w:t>乙方2（全称）：</w:t>
      </w:r>
      <w:r>
        <w:rPr>
          <w:rFonts w:hint="eastAsia" w:ascii="宋体" w:hAnsi="宋体"/>
          <w:szCs w:val="21"/>
          <w:highlight w:val="none"/>
          <w:u w:val="single"/>
        </w:rPr>
        <w:t xml:space="preserve">                        </w:t>
      </w:r>
      <w:r>
        <w:rPr>
          <w:rFonts w:hint="eastAsia" w:ascii="宋体" w:hAnsi="宋体"/>
          <w:szCs w:val="21"/>
          <w:highlight w:val="none"/>
        </w:rPr>
        <w:t>（联合体成员供应商或其他合同主体）（如有）</w:t>
      </w:r>
    </w:p>
    <w:p w14:paraId="0BE03D3C">
      <w:pPr>
        <w:adjustRightInd w:val="0"/>
        <w:snapToGrid w:val="0"/>
        <w:spacing w:before="0" w:beforeLines="0" w:line="400" w:lineRule="exact"/>
        <w:rPr>
          <w:rFonts w:hint="eastAsia" w:ascii="宋体" w:hAnsi="宋体"/>
          <w:szCs w:val="21"/>
          <w:highlight w:val="none"/>
        </w:rPr>
      </w:pPr>
      <w:r>
        <w:rPr>
          <w:rFonts w:hint="eastAsia"/>
          <w:highlight w:val="none"/>
          <w:lang w:eastAsia="zh-CN"/>
        </w:rPr>
        <w:t>乙方</w:t>
      </w:r>
      <w:r>
        <w:rPr>
          <w:rFonts w:hint="eastAsia" w:ascii="宋体" w:hAnsi="宋体"/>
          <w:szCs w:val="21"/>
          <w:highlight w:val="none"/>
          <w:lang w:val="en-US" w:eastAsia="zh-CN"/>
        </w:rPr>
        <w:t>3</w:t>
      </w:r>
      <w:r>
        <w:rPr>
          <w:rFonts w:hint="eastAsia"/>
          <w:highlight w:val="none"/>
          <w:lang w:val="en-US" w:eastAsia="zh-CN"/>
        </w:rPr>
        <w:t>（全称）</w:t>
      </w:r>
      <w:r>
        <w:rPr>
          <w:rFonts w:hint="eastAsia" w:ascii="宋体" w:hAnsi="宋体"/>
          <w:szCs w:val="21"/>
          <w:highlight w:val="none"/>
          <w:u w:val="single"/>
        </w:rPr>
        <w:t xml:space="preserve">                          </w:t>
      </w:r>
      <w:r>
        <w:rPr>
          <w:rFonts w:hint="eastAsia" w:ascii="宋体" w:hAnsi="宋体"/>
          <w:szCs w:val="21"/>
          <w:highlight w:val="none"/>
        </w:rPr>
        <w:t>（联合体成员供应商或其他合同主体）（如有）</w:t>
      </w:r>
    </w:p>
    <w:p w14:paraId="53B09DA8">
      <w:pPr>
        <w:pStyle w:val="18"/>
        <w:adjustRightInd w:val="0"/>
        <w:snapToGrid w:val="0"/>
        <w:spacing w:before="0" w:beforeLines="0" w:after="0" w:line="400" w:lineRule="exact"/>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依据《中华人民共和国民法典》</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《中华人民共和国政府采购法》等有关的法律法规，以及</w:t>
      </w:r>
      <w:r>
        <w:rPr>
          <w:rFonts w:hint="eastAsia" w:ascii="宋体" w:hAnsi="宋体" w:eastAsia="宋体" w:cs="宋体"/>
          <w:i w:val="0"/>
          <w:iCs w:val="0"/>
          <w:sz w:val="21"/>
          <w:szCs w:val="21"/>
          <w:highlight w:val="none"/>
          <w:u w:val="none"/>
          <w:lang w:eastAsia="zh-CN"/>
        </w:rPr>
        <w:t>本采购项目</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eastAsia="zh-CN"/>
        </w:rPr>
        <w:t>招标</w:t>
      </w:r>
      <w:r>
        <w:rPr>
          <w:rFonts w:hint="eastAsia" w:ascii="宋体" w:hAnsi="宋体" w:eastAsia="宋体" w:cs="宋体"/>
          <w:sz w:val="21"/>
          <w:szCs w:val="21"/>
          <w:highlight w:val="none"/>
          <w:lang w:val="en-US" w:eastAsia="zh-CN"/>
        </w:rPr>
        <w:t>/谈判</w:t>
      </w:r>
      <w:r>
        <w:rPr>
          <w:rFonts w:hint="eastAsia" w:ascii="宋体" w:hAnsi="宋体" w:eastAsia="宋体" w:cs="宋体"/>
          <w:sz w:val="21"/>
          <w:szCs w:val="21"/>
          <w:highlight w:val="none"/>
          <w:lang w:eastAsia="zh-CN"/>
        </w:rPr>
        <w:t>文件等</w:t>
      </w:r>
      <w:r>
        <w:rPr>
          <w:rFonts w:hint="eastAsia" w:ascii="宋体" w:hAnsi="宋体" w:eastAsia="宋体" w:cs="宋体"/>
          <w:sz w:val="21"/>
          <w:szCs w:val="21"/>
          <w:highlight w:val="none"/>
        </w:rPr>
        <w:t>采购文件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乙方的《投标（响应）文件》及《中标（成交）通知书》，甲乙双方同意签订本合同。具体情况及要求如下：</w:t>
      </w:r>
    </w:p>
    <w:p w14:paraId="55AD6822">
      <w:pPr>
        <w:numPr>
          <w:ilvl w:val="0"/>
          <w:numId w:val="2"/>
        </w:numPr>
        <w:adjustRightInd w:val="0"/>
        <w:snapToGrid w:val="0"/>
        <w:spacing w:before="0" w:beforeLines="0" w:line="400" w:lineRule="exact"/>
        <w:ind w:firstLine="402" w:firstLineChars="200"/>
        <w:rPr>
          <w:rFonts w:ascii="宋体" w:hAnsi="宋体"/>
          <w:b/>
          <w:szCs w:val="21"/>
          <w:highlight w:val="none"/>
        </w:rPr>
      </w:pPr>
      <w:r>
        <w:rPr>
          <w:rFonts w:hint="eastAsia" w:ascii="宋体" w:hAnsi="宋体"/>
          <w:b/>
          <w:szCs w:val="21"/>
          <w:highlight w:val="none"/>
        </w:rPr>
        <w:t>项目信息</w:t>
      </w:r>
    </w:p>
    <w:p w14:paraId="39F8CA71">
      <w:pPr>
        <w:pStyle w:val="18"/>
        <w:numPr>
          <w:ilvl w:val="0"/>
          <w:numId w:val="3"/>
        </w:numPr>
        <w:adjustRightInd w:val="0"/>
        <w:snapToGrid w:val="0"/>
        <w:spacing w:before="0" w:beforeLines="0" w:after="0" w:line="400" w:lineRule="exact"/>
        <w:ind w:left="0" w:leftChars="0"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采购项目名称：</w:t>
      </w:r>
    </w:p>
    <w:p w14:paraId="22BC13A6">
      <w:pPr>
        <w:pStyle w:val="18"/>
        <w:numPr>
          <w:ilvl w:val="0"/>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 xml:space="preserve">         采购项目编号：</w:t>
      </w:r>
    </w:p>
    <w:p w14:paraId="6BF5A35F">
      <w:pPr>
        <w:pStyle w:val="18"/>
        <w:adjustRightInd w:val="0"/>
        <w:snapToGrid w:val="0"/>
        <w:spacing w:before="0" w:beforeLines="0" w:after="0" w:line="400" w:lineRule="exact"/>
        <w:ind w:left="0"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（2）采购计划编号：</w:t>
      </w:r>
    </w:p>
    <w:p w14:paraId="03B03EDC">
      <w:pPr>
        <w:adjustRightInd w:val="0"/>
        <w:snapToGrid w:val="0"/>
        <w:spacing w:before="0" w:beforeLines="0" w:line="400" w:lineRule="exact"/>
        <w:ind w:firstLine="400" w:firstLineChars="200"/>
        <w:rPr>
          <w:rFonts w:hint="eastAsia" w:ascii="宋体" w:hAnsi="宋体"/>
          <w:szCs w:val="21"/>
          <w:highlight w:val="none"/>
        </w:rPr>
      </w:pPr>
      <w:r>
        <w:rPr>
          <w:rFonts w:hint="eastAsia" w:ascii="宋体" w:hAnsi="宋体"/>
          <w:szCs w:val="21"/>
          <w:highlight w:val="none"/>
        </w:rPr>
        <w:t>（3）项目内容：</w:t>
      </w:r>
    </w:p>
    <w:p w14:paraId="29C7EBCD">
      <w:pPr>
        <w:adjustRightInd w:val="0"/>
        <w:snapToGrid w:val="0"/>
        <w:spacing w:before="0" w:beforeLines="0" w:line="400" w:lineRule="exact"/>
        <w:ind w:firstLine="400" w:firstLineChars="200"/>
        <w:rPr>
          <w:rFonts w:hint="eastAsia" w:ascii="宋体" w:hAnsi="宋体"/>
          <w:szCs w:val="21"/>
          <w:highlight w:val="none"/>
          <w:lang w:val="en-US" w:eastAsia="zh-CN"/>
        </w:rPr>
      </w:pPr>
      <w:r>
        <w:rPr>
          <w:rFonts w:hint="eastAsia" w:ascii="宋体" w:hAnsi="宋体"/>
          <w:szCs w:val="21"/>
          <w:highlight w:val="none"/>
          <w:lang w:val="en-US" w:eastAsia="zh-CN"/>
        </w:rPr>
        <w:t xml:space="preserve">     </w:t>
      </w:r>
      <w:r>
        <w:rPr>
          <w:rFonts w:hint="eastAsia" w:ascii="宋体" w:hAnsi="宋体"/>
          <w:szCs w:val="21"/>
          <w:highlight w:val="none"/>
          <w:lang w:eastAsia="zh-CN"/>
        </w:rPr>
        <w:t>采购标的及数量</w:t>
      </w:r>
      <w:r>
        <w:rPr>
          <w:rFonts w:hint="eastAsia" w:ascii="宋体" w:hAnsi="宋体"/>
          <w:szCs w:val="21"/>
          <w:highlight w:val="none"/>
          <w:lang w:val="en-US" w:eastAsia="zh-CN"/>
        </w:rPr>
        <w:t>（台/套</w:t>
      </w:r>
      <w:r>
        <w:rPr>
          <w:rFonts w:hint="default" w:ascii="宋体" w:hAnsi="宋体"/>
          <w:szCs w:val="21"/>
          <w:highlight w:val="none"/>
          <w:lang w:val="en" w:eastAsia="zh-CN"/>
        </w:rPr>
        <w:t>/</w:t>
      </w:r>
      <w:r>
        <w:rPr>
          <w:rFonts w:hint="eastAsia" w:ascii="宋体" w:hAnsi="宋体"/>
          <w:szCs w:val="21"/>
          <w:highlight w:val="none"/>
          <w:lang w:val="en" w:eastAsia="zh-CN"/>
        </w:rPr>
        <w:t>个</w:t>
      </w:r>
      <w:r>
        <w:rPr>
          <w:rFonts w:hint="default" w:ascii="宋体" w:hAnsi="宋体"/>
          <w:szCs w:val="21"/>
          <w:highlight w:val="none"/>
          <w:lang w:val="en" w:eastAsia="zh-CN"/>
        </w:rPr>
        <w:t>/</w:t>
      </w:r>
      <w:r>
        <w:rPr>
          <w:rFonts w:hint="eastAsia" w:ascii="宋体" w:hAnsi="宋体"/>
          <w:szCs w:val="21"/>
          <w:highlight w:val="none"/>
          <w:lang w:val="en" w:eastAsia="zh-CN"/>
        </w:rPr>
        <w:t>架</w:t>
      </w:r>
      <w:r>
        <w:rPr>
          <w:rFonts w:hint="default" w:ascii="宋体" w:hAnsi="宋体"/>
          <w:szCs w:val="21"/>
          <w:highlight w:val="none"/>
          <w:lang w:val="en" w:eastAsia="zh-CN"/>
        </w:rPr>
        <w:t>/</w:t>
      </w:r>
      <w:r>
        <w:rPr>
          <w:rFonts w:hint="eastAsia" w:ascii="宋体" w:hAnsi="宋体"/>
          <w:szCs w:val="21"/>
          <w:highlight w:val="none"/>
          <w:lang w:val="en" w:eastAsia="zh-CN"/>
        </w:rPr>
        <w:t>组等</w:t>
      </w:r>
      <w:r>
        <w:rPr>
          <w:rFonts w:hint="eastAsia" w:ascii="宋体" w:hAnsi="宋体"/>
          <w:szCs w:val="21"/>
          <w:highlight w:val="none"/>
          <w:lang w:val="en-US" w:eastAsia="zh-CN"/>
        </w:rPr>
        <w:t>）</w:t>
      </w:r>
      <w:r>
        <w:rPr>
          <w:rFonts w:hint="eastAsia" w:ascii="宋体" w:hAnsi="宋体"/>
          <w:szCs w:val="21"/>
          <w:highlight w:val="none"/>
          <w:lang w:eastAsia="zh-CN"/>
        </w:rPr>
        <w:t>：</w:t>
      </w:r>
    </w:p>
    <w:p w14:paraId="5775C183">
      <w:pPr>
        <w:numPr>
          <w:ilvl w:val="0"/>
          <w:numId w:val="0"/>
        </w:numPr>
        <w:adjustRightInd w:val="0"/>
        <w:snapToGrid w:val="0"/>
        <w:spacing w:before="0" w:beforeLines="0" w:line="400" w:lineRule="exact"/>
        <w:ind w:firstLine="400" w:firstLineChars="200"/>
        <w:rPr>
          <w:rFonts w:hint="default" w:ascii="宋体" w:hAnsi="宋体" w:cs="宋体"/>
          <w:szCs w:val="21"/>
          <w:highlight w:val="none"/>
          <w:lang w:val="en" w:eastAsia="zh-CN"/>
        </w:rPr>
      </w:pPr>
      <w:r>
        <w:rPr>
          <w:rFonts w:hint="eastAsia" w:ascii="宋体" w:hAnsi="宋体"/>
          <w:szCs w:val="21"/>
          <w:highlight w:val="none"/>
          <w:u w:val="none"/>
          <w:lang w:val="en-US" w:eastAsia="zh-CN"/>
        </w:rPr>
        <w:t xml:space="preserve">     </w:t>
      </w:r>
      <w:r>
        <w:rPr>
          <w:rFonts w:hint="eastAsia" w:ascii="宋体" w:hAnsi="宋体" w:cs="宋体"/>
          <w:szCs w:val="21"/>
          <w:highlight w:val="none"/>
          <w:lang w:val="en-US" w:eastAsia="zh-CN"/>
        </w:rPr>
        <w:t>品牌：</w:t>
      </w:r>
      <w:r>
        <w:rPr>
          <w:rFonts w:hint="eastAsia" w:ascii="宋体" w:hAnsi="宋体" w:cs="宋体"/>
          <w:szCs w:val="21"/>
          <w:highlight w:val="none"/>
          <w:u w:val="single"/>
          <w:lang w:val="en-US" w:eastAsia="zh-CN"/>
        </w:rPr>
        <w:t xml:space="preserve">      </w:t>
      </w:r>
      <w:r>
        <w:rPr>
          <w:rFonts w:hint="default" w:ascii="宋体" w:hAnsi="宋体" w:cs="宋体"/>
          <w:szCs w:val="21"/>
          <w:highlight w:val="none"/>
          <w:u w:val="single"/>
          <w:lang w:val="en" w:eastAsia="zh-CN"/>
        </w:rPr>
        <w:t xml:space="preserve">   </w:t>
      </w:r>
      <w:r>
        <w:rPr>
          <w:rFonts w:hint="eastAsia" w:ascii="宋体" w:hAnsi="宋体" w:cs="宋体"/>
          <w:szCs w:val="21"/>
          <w:highlight w:val="none"/>
          <w:u w:val="single"/>
          <w:lang w:val="en-US" w:eastAsia="zh-CN"/>
        </w:rPr>
        <w:t xml:space="preserve">    </w:t>
      </w:r>
      <w:r>
        <w:rPr>
          <w:rFonts w:hint="default" w:ascii="宋体" w:hAnsi="宋体" w:cs="宋体"/>
          <w:szCs w:val="21"/>
          <w:highlight w:val="none"/>
          <w:u w:val="single"/>
          <w:lang w:val="en" w:eastAsia="zh-CN"/>
        </w:rPr>
        <w:t xml:space="preserve"> </w:t>
      </w:r>
      <w:r>
        <w:rPr>
          <w:rFonts w:hint="eastAsia" w:ascii="宋体" w:hAnsi="宋体" w:cs="宋体"/>
          <w:szCs w:val="21"/>
          <w:highlight w:val="none"/>
          <w:u w:val="single"/>
          <w:lang w:val="en-US" w:eastAsia="zh-CN"/>
        </w:rPr>
        <w:t xml:space="preserve"> </w:t>
      </w:r>
      <w:r>
        <w:rPr>
          <w:rFonts w:hint="default" w:ascii="宋体" w:hAnsi="宋体" w:cs="宋体"/>
          <w:szCs w:val="21"/>
          <w:highlight w:val="none"/>
          <w:u w:val="none"/>
          <w:lang w:val="en" w:eastAsia="zh-CN"/>
        </w:rPr>
        <w:t xml:space="preserve">     </w:t>
      </w:r>
      <w:r>
        <w:rPr>
          <w:rFonts w:hint="eastAsia" w:ascii="宋体" w:hAnsi="宋体" w:cs="宋体"/>
          <w:szCs w:val="21"/>
          <w:highlight w:val="none"/>
          <w:lang w:val="en-US" w:eastAsia="zh-CN"/>
        </w:rPr>
        <w:t>规格型号：</w:t>
      </w:r>
    </w:p>
    <w:p w14:paraId="26127D8D">
      <w:pPr>
        <w:adjustRightInd w:val="0"/>
        <w:snapToGrid w:val="0"/>
        <w:spacing w:before="0" w:beforeLines="0" w:line="400" w:lineRule="exact"/>
        <w:ind w:firstLine="900"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6A141504">
      <w:pPr>
        <w:numPr>
          <w:ilvl w:val="0"/>
          <w:numId w:val="0"/>
        </w:numPr>
        <w:adjustRightInd w:val="0"/>
        <w:snapToGrid w:val="0"/>
        <w:spacing w:before="0" w:beforeLines="0" w:line="400" w:lineRule="exact"/>
        <w:ind w:firstLine="900" w:firstLineChars="450"/>
        <w:rPr>
          <w:rFonts w:hint="eastAsia" w:ascii="宋体" w:hAnsi="宋体" w:cs="宋体"/>
          <w:szCs w:val="21"/>
          <w:highlight w:val="none"/>
          <w:lang w:val="en-US" w:eastAsia="zh-CN"/>
        </w:rPr>
      </w:pPr>
      <w:r>
        <w:rPr>
          <w:rFonts w:hint="eastAsia" w:ascii="汉仪书宋二S" w:hAnsi="汉仪书宋二S" w:eastAsia="汉仪书宋二S" w:cs="汉仪书宋二S"/>
          <w:szCs w:val="21"/>
          <w:highlight w:val="none"/>
          <w:lang w:val="en-US" w:eastAsia="zh-CN"/>
        </w:rPr>
        <w:t>①</w:t>
      </w:r>
      <w:r>
        <w:rPr>
          <w:rFonts w:hint="eastAsia" w:ascii="宋体" w:hAnsi="宋体" w:cs="宋体"/>
          <w:szCs w:val="21"/>
          <w:highlight w:val="none"/>
          <w:lang w:val="en-US" w:eastAsia="zh-CN"/>
        </w:rPr>
        <w:t>涉及信息类产品，请填写该产品关键部件的品牌、型号：</w:t>
      </w:r>
    </w:p>
    <w:p w14:paraId="76F2EAE6">
      <w:pPr>
        <w:numPr>
          <w:ilvl w:val="0"/>
          <w:numId w:val="0"/>
        </w:numPr>
        <w:adjustRightInd w:val="0"/>
        <w:snapToGrid w:val="0"/>
        <w:spacing w:before="0" w:beforeLines="0" w:line="400" w:lineRule="exact"/>
        <w:ind w:firstLine="400" w:firstLineChars="200"/>
        <w:rPr>
          <w:rFonts w:hint="eastAsia" w:ascii="宋体" w:hAnsi="宋体" w:cs="宋体"/>
          <w:kern w:val="0"/>
          <w:szCs w:val="21"/>
          <w:highlight w:val="none"/>
          <w:u w:val="single"/>
          <w:lang w:val="en-US" w:eastAsia="zh-CN"/>
        </w:rPr>
      </w:pPr>
      <w:r>
        <w:rPr>
          <w:rFonts w:hint="eastAsia" w:ascii="宋体" w:hAnsi="宋体" w:cs="宋体"/>
          <w:szCs w:val="21"/>
          <w:highlight w:val="none"/>
          <w:lang w:val="en-US" w:eastAsia="zh-CN"/>
        </w:rPr>
        <w:t xml:space="preserve">     标的名称：</w:t>
      </w:r>
      <w:r>
        <w:rPr>
          <w:rFonts w:hint="eastAsia" w:ascii="宋体" w:hAnsi="宋体" w:cs="宋体"/>
          <w:kern w:val="0"/>
          <w:szCs w:val="21"/>
          <w:highlight w:val="none"/>
          <w:u w:val="single"/>
          <w:lang w:val="en-US" w:eastAsia="zh-CN"/>
        </w:rPr>
        <w:t xml:space="preserve">      </w:t>
      </w:r>
      <w:r>
        <w:rPr>
          <w:rFonts w:hint="default" w:ascii="宋体" w:hAnsi="宋体" w:cs="宋体"/>
          <w:kern w:val="0"/>
          <w:szCs w:val="21"/>
          <w:highlight w:val="none"/>
          <w:u w:val="single"/>
          <w:lang w:val="en" w:eastAsia="zh-CN"/>
        </w:rPr>
        <w:t xml:space="preserve">               </w:t>
      </w:r>
      <w:r>
        <w:rPr>
          <w:rFonts w:hint="eastAsia" w:ascii="宋体" w:hAnsi="宋体" w:cs="宋体"/>
          <w:kern w:val="0"/>
          <w:szCs w:val="21"/>
          <w:highlight w:val="none"/>
          <w:u w:val="single"/>
          <w:lang w:val="en-US" w:eastAsia="zh-CN"/>
        </w:rPr>
        <w:t xml:space="preserve">    </w:t>
      </w:r>
    </w:p>
    <w:p w14:paraId="457FA4B7">
      <w:pPr>
        <w:numPr>
          <w:ilvl w:val="0"/>
          <w:numId w:val="0"/>
        </w:numPr>
        <w:adjustRightInd w:val="0"/>
        <w:snapToGrid w:val="0"/>
        <w:spacing w:before="0" w:beforeLines="0" w:line="400" w:lineRule="exact"/>
        <w:ind w:firstLine="40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     关键部件：</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u w:val="none"/>
          <w:lang w:val="en-US" w:eastAsia="zh-CN"/>
        </w:rPr>
        <w:t xml:space="preserve"> </w:t>
      </w:r>
      <w:r>
        <w:rPr>
          <w:rFonts w:hint="eastAsia" w:ascii="宋体" w:hAnsi="宋体" w:cs="宋体"/>
          <w:szCs w:val="21"/>
          <w:highlight w:val="none"/>
          <w:lang w:val="en-US" w:eastAsia="zh-CN"/>
        </w:rPr>
        <w:t>品牌：</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val="en-US" w:eastAsia="zh-CN"/>
        </w:rPr>
        <w:t xml:space="preserve"> </w:t>
      </w:r>
      <w:r>
        <w:rPr>
          <w:rFonts w:hint="eastAsia" w:ascii="宋体" w:hAnsi="宋体" w:cs="宋体"/>
          <w:szCs w:val="21"/>
          <w:highlight w:val="none"/>
          <w:lang w:val="en-US" w:eastAsia="zh-CN"/>
        </w:rPr>
        <w:t>型号：</w:t>
      </w:r>
    </w:p>
    <w:p w14:paraId="3B25BEDE">
      <w:pPr>
        <w:pStyle w:val="148"/>
        <w:spacing w:beforeLine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kern w:val="2"/>
          <w:sz w:val="21"/>
          <w:szCs w:val="21"/>
          <w:highlight w:val="none"/>
          <w:lang w:val="en-US" w:eastAsia="zh-CN"/>
        </w:rPr>
        <w:t>关键部件</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品牌：</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型号：</w:t>
      </w:r>
    </w:p>
    <w:p w14:paraId="1293860F">
      <w:pPr>
        <w:pStyle w:val="148"/>
        <w:spacing w:beforeLine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关键部件：</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品牌：</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型号：</w:t>
      </w:r>
    </w:p>
    <w:p w14:paraId="7070913C">
      <w:pPr>
        <w:pStyle w:val="148"/>
        <w:numPr>
          <w:ilvl w:val="0"/>
          <w:numId w:val="0"/>
        </w:numPr>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543A0CA6">
      <w:pPr>
        <w:pStyle w:val="148"/>
        <w:numPr>
          <w:ilvl w:val="0"/>
          <w:numId w:val="0"/>
        </w:numPr>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汉仪书宋二S" w:hAnsi="汉仪书宋二S" w:eastAsia="汉仪书宋二S" w:cs="汉仪书宋二S"/>
          <w:sz w:val="21"/>
          <w:szCs w:val="21"/>
          <w:highlight w:val="none"/>
          <w:lang w:val="en-US" w:eastAsia="zh-CN"/>
        </w:rPr>
        <w:t>②</w:t>
      </w:r>
      <w:r>
        <w:rPr>
          <w:rFonts w:hint="eastAsia" w:ascii="宋体" w:hAnsi="宋体" w:eastAsia="宋体" w:cs="宋体"/>
          <w:sz w:val="21"/>
          <w:szCs w:val="21"/>
          <w:highlight w:val="none"/>
          <w:lang w:val="en-US" w:eastAsia="zh-CN"/>
        </w:rPr>
        <w:t>涉及车辆采购，请填写是否属于新能源汽车：</w:t>
      </w:r>
    </w:p>
    <w:p w14:paraId="1D6AFD94">
      <w:pPr>
        <w:pStyle w:val="148"/>
        <w:numPr>
          <w:ilvl w:val="0"/>
          <w:numId w:val="0"/>
        </w:numPr>
        <w:adjustRightInd w:val="0"/>
        <w:snapToGrid w:val="0"/>
        <w:spacing w:before="0" w:beforeLines="0" w:line="400" w:lineRule="exact"/>
        <w:ind w:firstLine="0" w:firstLineChars="0"/>
        <w:rPr>
          <w:rFonts w:hint="eastAsia" w:ascii="宋体" w:hAnsi="宋体" w:eastAsia="宋体" w:cs="宋体"/>
          <w:iCs w:val="0"/>
          <w:sz w:val="21"/>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rPr>
        <w:t>是</w:t>
      </w:r>
      <w:r>
        <w:rPr>
          <w:rFonts w:hint="eastAsia" w:ascii="宋体" w:hAnsi="宋体" w:eastAsia="宋体" w:cs="宋体"/>
          <w:iCs w:val="0"/>
          <w:sz w:val="21"/>
          <w:szCs w:val="21"/>
          <w:highlight w:val="none"/>
          <w:lang w:eastAsia="zh-CN"/>
        </w:rPr>
        <w:t>，《政府采购品目分类目录》底级品目名称</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数量：</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金额：</w:t>
      </w:r>
    </w:p>
    <w:p w14:paraId="6255D9BC">
      <w:pPr>
        <w:pStyle w:val="148"/>
        <w:numPr>
          <w:ilvl w:val="0"/>
          <w:numId w:val="0"/>
        </w:numPr>
        <w:adjustRightInd w:val="0"/>
        <w:snapToGrid w:val="0"/>
        <w:spacing w:before="0" w:beforeLines="0" w:line="400" w:lineRule="exact"/>
        <w:ind w:firstLine="0" w:firstLineChars="0"/>
        <w:rPr>
          <w:rFonts w:hint="eastAsia" w:ascii="宋体" w:hAnsi="宋体" w:eastAsia="宋体" w:cs="宋体"/>
          <w:iCs w:val="0"/>
          <w:sz w:val="21"/>
          <w:szCs w:val="21"/>
          <w:highlight w:val="none"/>
          <w:lang w:eastAsia="zh-CN"/>
        </w:rPr>
      </w:pP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否</w:t>
      </w:r>
    </w:p>
    <w:p w14:paraId="49CC9C8C">
      <w:pPr>
        <w:pStyle w:val="148"/>
        <w:numPr>
          <w:ilvl w:val="0"/>
          <w:numId w:val="0"/>
        </w:numPr>
        <w:adjustRightInd w:val="0"/>
        <w:snapToGrid w:val="0"/>
        <w:spacing w:before="0" w:beforeLines="0" w:line="400" w:lineRule="exact"/>
        <w:ind w:left="0" w:firstLine="0" w:firstLineChars="0"/>
        <w:rPr>
          <w:rFonts w:hint="eastAsia" w:ascii="宋体" w:hAnsi="宋体" w:eastAsia="宋体" w:cs="宋体"/>
          <w:iCs w:val="0"/>
          <w:sz w:val="21"/>
          <w:szCs w:val="21"/>
          <w:highlight w:val="none"/>
          <w:lang w:val="en-US" w:eastAsia="zh-CN"/>
        </w:rPr>
      </w:pPr>
      <w:r>
        <w:rPr>
          <w:rFonts w:hint="eastAsia" w:ascii="宋体" w:hAnsi="宋体" w:eastAsia="宋体" w:cs="宋体"/>
          <w:iCs w:val="0"/>
          <w:sz w:val="21"/>
          <w:szCs w:val="21"/>
          <w:highlight w:val="none"/>
          <w:lang w:val="en-US" w:eastAsia="zh-CN"/>
        </w:rPr>
        <w:t xml:space="preserve">    （</w:t>
      </w:r>
      <w:r>
        <w:rPr>
          <w:rFonts w:hint="default" w:ascii="宋体" w:hAnsi="宋体" w:eastAsia="宋体" w:cs="宋体"/>
          <w:iCs w:val="0"/>
          <w:sz w:val="21"/>
          <w:szCs w:val="21"/>
          <w:highlight w:val="none"/>
          <w:lang w:val="en" w:eastAsia="zh-CN"/>
        </w:rPr>
        <w:t>4</w:t>
      </w:r>
      <w:r>
        <w:rPr>
          <w:rFonts w:hint="eastAsia" w:ascii="宋体" w:hAnsi="宋体" w:eastAsia="宋体" w:cs="宋体"/>
          <w:iCs w:val="0"/>
          <w:sz w:val="21"/>
          <w:szCs w:val="21"/>
          <w:highlight w:val="none"/>
          <w:lang w:val="en-US" w:eastAsia="zh-CN"/>
        </w:rPr>
        <w:t>）政府采购组织形式：</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政府集中采购</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val="en-US" w:eastAsia="zh-CN"/>
        </w:rPr>
        <w:t xml:space="preserve">部门集中采购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val="en-US" w:eastAsia="zh-CN"/>
        </w:rPr>
        <w:t>分散采购</w:t>
      </w:r>
    </w:p>
    <w:p w14:paraId="4FBBACB4">
      <w:pPr>
        <w:pStyle w:val="148"/>
        <w:numPr>
          <w:ilvl w:val="0"/>
          <w:numId w:val="0"/>
        </w:numPr>
        <w:adjustRightInd w:val="0"/>
        <w:snapToGrid w:val="0"/>
        <w:spacing w:before="0" w:beforeLines="0" w:line="400" w:lineRule="exact"/>
        <w:ind w:left="0" w:firstLine="420" w:firstLineChars="0"/>
        <w:rPr>
          <w:rFonts w:hint="eastAsia" w:ascii="宋体" w:hAnsi="宋体" w:eastAsia="宋体" w:cs="宋体"/>
          <w:iCs w:val="0"/>
          <w:sz w:val="21"/>
          <w:szCs w:val="21"/>
          <w:highlight w:val="none"/>
          <w:lang w:eastAsia="zh-CN"/>
        </w:rPr>
      </w:pPr>
      <w:r>
        <w:rPr>
          <w:rFonts w:hint="eastAsia" w:ascii="宋体" w:hAnsi="宋体" w:eastAsia="宋体" w:cs="宋体"/>
          <w:iCs w:val="0"/>
          <w:sz w:val="21"/>
          <w:szCs w:val="21"/>
          <w:highlight w:val="none"/>
          <w:lang w:val="en-US" w:eastAsia="zh-CN"/>
        </w:rPr>
        <w:t>（</w:t>
      </w:r>
      <w:r>
        <w:rPr>
          <w:rFonts w:hint="default" w:ascii="宋体" w:hAnsi="宋体" w:eastAsia="宋体" w:cs="宋体"/>
          <w:iCs w:val="0"/>
          <w:sz w:val="21"/>
          <w:szCs w:val="21"/>
          <w:highlight w:val="none"/>
          <w:lang w:val="en" w:eastAsia="zh-CN"/>
        </w:rPr>
        <w:t>5</w:t>
      </w:r>
      <w:r>
        <w:rPr>
          <w:rFonts w:hint="eastAsia" w:ascii="宋体" w:hAnsi="宋体" w:eastAsia="宋体" w:cs="宋体"/>
          <w:iCs w:val="0"/>
          <w:sz w:val="21"/>
          <w:szCs w:val="21"/>
          <w:highlight w:val="none"/>
          <w:lang w:val="en-US" w:eastAsia="zh-CN"/>
        </w:rPr>
        <w:t>）政府采购方式：</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公开招标</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邀请招标</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竞争性谈判</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竞争性磋商</w:t>
      </w:r>
    </w:p>
    <w:p w14:paraId="6B5498D3">
      <w:pPr>
        <w:pStyle w:val="148"/>
        <w:numPr>
          <w:ilvl w:val="0"/>
          <w:numId w:val="0"/>
        </w:numPr>
        <w:adjustRightInd w:val="0"/>
        <w:snapToGrid w:val="0"/>
        <w:spacing w:before="0" w:beforeLines="0" w:line="400" w:lineRule="exact"/>
        <w:ind w:left="0" w:firstLine="420" w:firstLineChars="0"/>
        <w:rPr>
          <w:rFonts w:hint="eastAsia" w:ascii="宋体" w:hAnsi="宋体" w:eastAsia="宋体" w:cs="宋体"/>
          <w:iCs w:val="0"/>
          <w:sz w:val="21"/>
          <w:szCs w:val="21"/>
          <w:highlight w:val="none"/>
          <w:u w:val="single"/>
          <w:lang w:val="en-US" w:eastAsia="zh-CN"/>
        </w:rPr>
      </w:pPr>
      <w:r>
        <w:rPr>
          <w:rFonts w:hint="eastAsia" w:ascii="宋体" w:hAnsi="宋体" w:cs="宋体"/>
          <w:szCs w:val="21"/>
          <w:highlight w:val="none"/>
          <w:u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询价</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单一来源</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框架协议</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其他：</w:t>
      </w:r>
    </w:p>
    <w:p w14:paraId="4590E3B3">
      <w:pPr>
        <w:pStyle w:val="148"/>
        <w:numPr>
          <w:ilvl w:val="0"/>
          <w:numId w:val="0"/>
        </w:numPr>
        <w:adjustRightInd w:val="0"/>
        <w:snapToGrid w:val="0"/>
        <w:spacing w:before="0" w:beforeLines="0" w:line="400" w:lineRule="exact"/>
        <w:ind w:left="0" w:firstLine="420" w:firstLineChars="0"/>
        <w:rPr>
          <w:rFonts w:hint="default" w:ascii="宋体" w:hAnsi="宋体" w:eastAsia="宋体" w:cs="宋体"/>
          <w:iCs w:val="0"/>
          <w:sz w:val="21"/>
          <w:szCs w:val="21"/>
          <w:highlight w:val="none"/>
          <w:u w:val="none"/>
          <w:lang w:val="en-US" w:eastAsia="zh-CN"/>
        </w:rPr>
      </w:pPr>
      <w:r>
        <w:rPr>
          <w:rFonts w:hint="eastAsia" w:ascii="宋体" w:hAnsi="宋体" w:eastAsia="宋体" w:cs="宋体"/>
          <w:iCs w:val="0"/>
          <w:sz w:val="21"/>
          <w:szCs w:val="21"/>
          <w:highlight w:val="none"/>
          <w:u w:val="none"/>
          <w:lang w:val="en-US" w:eastAsia="zh-CN"/>
        </w:rPr>
        <w:t>（注：在框架协议采购的第二阶段，可选择使用该合同文本）</w:t>
      </w:r>
    </w:p>
    <w:p w14:paraId="5232159B">
      <w:pPr>
        <w:pStyle w:val="148"/>
        <w:numPr>
          <w:ilvl w:val="0"/>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highlight w:val="none"/>
          <w:lang w:val="en-US" w:eastAsia="zh-CN" w:bidi="ar-SA"/>
        </w:rPr>
      </w:pPr>
      <w:r>
        <w:rPr>
          <w:rFonts w:hint="eastAsia" w:ascii="宋体" w:hAnsi="宋体"/>
          <w:szCs w:val="21"/>
          <w:highlight w:val="none"/>
          <w:lang w:val="en-US" w:eastAsia="zh-CN"/>
        </w:rPr>
        <w:t xml:space="preserve"> （</w:t>
      </w:r>
      <w:r>
        <w:rPr>
          <w:rFonts w:hint="default" w:ascii="宋体" w:hAnsi="宋体"/>
          <w:szCs w:val="21"/>
          <w:highlight w:val="none"/>
          <w:lang w:val="en" w:eastAsia="zh-CN"/>
        </w:rPr>
        <w:t>6</w:t>
      </w:r>
      <w:r>
        <w:rPr>
          <w:rFonts w:hint="eastAsia" w:ascii="宋体" w:hAnsi="宋体"/>
          <w:szCs w:val="21"/>
          <w:highlight w:val="none"/>
          <w:lang w:val="en-US" w:eastAsia="zh-CN"/>
        </w:rPr>
        <w:t>）</w:t>
      </w:r>
      <w:r>
        <w:rPr>
          <w:rFonts w:hint="eastAsia" w:ascii="宋体" w:hAnsi="宋体" w:eastAsia="宋体" w:cs="Times New Roman"/>
          <w:w w:val="100"/>
          <w:kern w:val="2"/>
          <w:sz w:val="21"/>
          <w:szCs w:val="21"/>
          <w:highlight w:val="none"/>
          <w:lang w:val="en-US" w:eastAsia="zh-CN" w:bidi="ar-SA"/>
        </w:rPr>
        <w:t>中标（成交）采购标的制造商是否为中小企业：</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 xml:space="preserve">是      </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否</w:t>
      </w:r>
    </w:p>
    <w:p w14:paraId="704BA557">
      <w:pPr>
        <w:numPr>
          <w:ilvl w:val="0"/>
          <w:numId w:val="0"/>
        </w:numPr>
        <w:adjustRightInd w:val="0"/>
        <w:snapToGrid w:val="0"/>
        <w:spacing w:before="0" w:beforeLines="0" w:line="400" w:lineRule="exact"/>
        <w:ind w:left="0" w:leftChars="0" w:firstLine="0" w:firstLineChars="0"/>
        <w:rPr>
          <w:rFonts w:hint="eastAsia" w:ascii="宋体" w:hAnsi="宋体"/>
          <w:iCs/>
          <w:szCs w:val="21"/>
          <w:highlight w:val="none"/>
        </w:rPr>
      </w:pPr>
      <w:r>
        <w:rPr>
          <w:rFonts w:hint="eastAsia" w:ascii="宋体" w:hAnsi="宋体"/>
          <w:w w:val="100"/>
          <w:szCs w:val="21"/>
          <w:highlight w:val="none"/>
          <w:lang w:val="en-US" w:eastAsia="zh-CN"/>
        </w:rPr>
        <w:t xml:space="preserve">         本合同</w:t>
      </w:r>
      <w:r>
        <w:rPr>
          <w:rFonts w:hint="eastAsia" w:ascii="宋体" w:hAnsi="宋体"/>
          <w:w w:val="100"/>
          <w:szCs w:val="21"/>
          <w:highlight w:val="none"/>
        </w:rPr>
        <w:t>是否</w:t>
      </w:r>
      <w:r>
        <w:rPr>
          <w:rFonts w:hint="eastAsia" w:ascii="宋体" w:hAnsi="宋体"/>
          <w:w w:val="100"/>
          <w:szCs w:val="21"/>
          <w:highlight w:val="none"/>
          <w:lang w:eastAsia="zh-CN"/>
        </w:rPr>
        <w:t>为专门面向</w:t>
      </w:r>
      <w:r>
        <w:rPr>
          <w:rFonts w:hint="eastAsia" w:ascii="宋体" w:hAnsi="宋体"/>
          <w:w w:val="100"/>
          <w:szCs w:val="21"/>
          <w:highlight w:val="none"/>
        </w:rPr>
        <w:t>中小企业</w:t>
      </w:r>
      <w:r>
        <w:rPr>
          <w:rFonts w:hint="eastAsia" w:ascii="宋体" w:hAnsi="宋体"/>
          <w:w w:val="100"/>
          <w:szCs w:val="21"/>
          <w:highlight w:val="none"/>
          <w:lang w:eastAsia="zh-CN"/>
        </w:rPr>
        <w:t>的采</w:t>
      </w:r>
      <w:r>
        <w:rPr>
          <w:rFonts w:hint="eastAsia" w:ascii="宋体" w:hAnsi="宋体"/>
          <w:w w:val="100"/>
          <w:szCs w:val="21"/>
          <w:highlight w:val="none"/>
          <w:shd w:val="clear" w:color="auto" w:fill="auto"/>
          <w:lang w:eastAsia="zh-CN"/>
        </w:rPr>
        <w:t>购</w:t>
      </w:r>
      <w:r>
        <w:rPr>
          <w:rFonts w:hint="eastAsia" w:ascii="宋体" w:hAnsi="宋体"/>
          <w:w w:val="100"/>
          <w:szCs w:val="21"/>
          <w:highlight w:val="none"/>
          <w:shd w:val="clear" w:color="auto" w:fill="auto"/>
        </w:rPr>
        <w:t>合同</w:t>
      </w:r>
      <w:r>
        <w:rPr>
          <w:rFonts w:hint="eastAsia" w:ascii="宋体" w:hAnsi="宋体"/>
          <w:w w:val="100"/>
          <w:szCs w:val="21"/>
          <w:highlight w:val="none"/>
          <w:shd w:val="clear" w:color="auto" w:fill="auto"/>
          <w:lang w:eastAsia="zh-CN"/>
        </w:rPr>
        <w:t>（中小企业预留合同）</w:t>
      </w:r>
      <w:r>
        <w:rPr>
          <w:rFonts w:hint="eastAsia" w:ascii="宋体" w:hAnsi="宋体"/>
          <w:szCs w:val="21"/>
          <w:highlight w:val="none"/>
          <w:shd w:val="clear" w:color="auto" w:fill="auto"/>
        </w:rPr>
        <w:t>：</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lang w:val="en-US" w:eastAsia="zh-CN"/>
        </w:rPr>
        <w:t xml:space="preserve">  </w:t>
      </w: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否</w:t>
      </w:r>
    </w:p>
    <w:p w14:paraId="582FD365">
      <w:pPr>
        <w:numPr>
          <w:ilvl w:val="0"/>
          <w:numId w:val="0"/>
        </w:numPr>
        <w:adjustRightInd w:val="0"/>
        <w:snapToGrid w:val="0"/>
        <w:spacing w:before="0" w:beforeLines="0" w:line="400" w:lineRule="exact"/>
        <w:ind w:firstLine="0" w:firstLineChars="0"/>
        <w:rPr>
          <w:rFonts w:hint="eastAsia" w:ascii="宋体" w:hAnsi="宋体"/>
          <w:iCs/>
          <w:szCs w:val="21"/>
          <w:highlight w:val="none"/>
        </w:rPr>
      </w:pPr>
      <w:r>
        <w:rPr>
          <w:rFonts w:hint="eastAsia"/>
          <w:highlight w:val="none"/>
          <w:lang w:val="en-US" w:eastAsia="zh-CN"/>
        </w:rPr>
        <w:t xml:space="preserve">         若本项目不专门面向中小企业采购，是否给予小微企业评审优惠：</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44849428">
      <w:pPr>
        <w:numPr>
          <w:ilvl w:val="0"/>
          <w:numId w:val="0"/>
        </w:numPr>
        <w:adjustRightInd w:val="0"/>
        <w:snapToGrid w:val="0"/>
        <w:spacing w:before="0" w:beforeLines="0" w:line="400" w:lineRule="exact"/>
        <w:ind w:firstLine="0" w:firstLineChars="0"/>
        <w:rPr>
          <w:rFonts w:hint="eastAsia" w:ascii="宋体" w:hAnsi="宋体"/>
          <w:iCs/>
          <w:szCs w:val="21"/>
          <w:highlight w:val="none"/>
        </w:rPr>
      </w:pPr>
      <w:r>
        <w:rPr>
          <w:rFonts w:hint="eastAsia"/>
          <w:highlight w:val="none"/>
          <w:lang w:val="en-US" w:eastAsia="zh-CN"/>
        </w:rPr>
        <w:t xml:space="preserve">         中标（成交）采购标的制造商是否为残疾人福利性单位：</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4206939A">
      <w:pPr>
        <w:numPr>
          <w:ilvl w:val="0"/>
          <w:numId w:val="0"/>
        </w:numPr>
        <w:snapToGrid w:val="0"/>
        <w:spacing w:beforeLines="0" w:line="400" w:lineRule="exact"/>
        <w:ind w:firstLine="0" w:firstLineChars="0"/>
        <w:rPr>
          <w:rFonts w:hint="default"/>
          <w:highlight w:val="none"/>
          <w:lang w:val="en-US" w:eastAsia="zh-CN"/>
        </w:rPr>
      </w:pPr>
      <w:r>
        <w:rPr>
          <w:rFonts w:hint="eastAsia"/>
          <w:highlight w:val="none"/>
          <w:lang w:val="en-US" w:eastAsia="zh-CN"/>
        </w:rPr>
        <w:t xml:space="preserve">         中标（成交）采购标的制造商是否为监狱企业：</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112A5493">
      <w:pPr>
        <w:adjustRightInd w:val="0"/>
        <w:snapToGrid w:val="0"/>
        <w:spacing w:before="0" w:beforeLines="0" w:line="400" w:lineRule="exact"/>
        <w:ind w:firstLine="400" w:firstLineChars="200"/>
        <w:rPr>
          <w:rFonts w:ascii="宋体" w:hAnsi="宋体"/>
          <w:szCs w:val="21"/>
          <w:highlight w:val="none"/>
        </w:rPr>
      </w:pPr>
      <w:r>
        <w:rPr>
          <w:rFonts w:hint="eastAsia" w:ascii="宋体" w:hAnsi="宋体"/>
          <w:szCs w:val="21"/>
          <w:highlight w:val="none"/>
        </w:rPr>
        <w:t>（</w:t>
      </w:r>
      <w:r>
        <w:rPr>
          <w:rFonts w:hint="default" w:ascii="宋体" w:hAnsi="宋体"/>
          <w:szCs w:val="21"/>
          <w:highlight w:val="none"/>
          <w:lang w:val="en" w:eastAsia="zh-CN"/>
        </w:rPr>
        <w:t>7</w:t>
      </w:r>
      <w:r>
        <w:rPr>
          <w:rFonts w:hint="eastAsia" w:ascii="宋体" w:hAnsi="宋体"/>
          <w:szCs w:val="21"/>
          <w:highlight w:val="none"/>
        </w:rPr>
        <w:t>）合同是否分包：</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1D120721">
      <w:pPr>
        <w:adjustRightInd w:val="0"/>
        <w:snapToGrid w:val="0"/>
        <w:spacing w:before="0" w:beforeLines="0" w:line="400" w:lineRule="exact"/>
        <w:ind w:firstLine="800" w:firstLineChars="400"/>
        <w:rPr>
          <w:rFonts w:hint="eastAsia" w:ascii="宋体" w:hAnsi="宋体"/>
          <w:szCs w:val="21"/>
          <w:highlight w:val="none"/>
          <w:u w:val="single"/>
        </w:rPr>
      </w:pPr>
      <w:r>
        <w:rPr>
          <w:rFonts w:hint="eastAsia" w:ascii="宋体" w:hAnsi="宋体"/>
          <w:szCs w:val="21"/>
          <w:highlight w:val="none"/>
          <w:lang w:val="en-US" w:eastAsia="zh-CN"/>
        </w:rPr>
        <w:t xml:space="preserve"> </w:t>
      </w:r>
      <w:r>
        <w:rPr>
          <w:rFonts w:hint="eastAsia" w:ascii="宋体" w:hAnsi="宋体"/>
          <w:szCs w:val="21"/>
          <w:highlight w:val="none"/>
        </w:rPr>
        <w:t>分包主要内容：</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1039C694">
      <w:pPr>
        <w:adjustRightInd w:val="0"/>
        <w:snapToGrid w:val="0"/>
        <w:spacing w:before="0" w:beforeLines="0" w:line="400" w:lineRule="exact"/>
        <w:ind w:firstLine="800" w:firstLineChars="400"/>
        <w:rPr>
          <w:rFonts w:hint="eastAsia" w:ascii="宋体" w:hAnsi="宋体"/>
          <w:szCs w:val="21"/>
          <w:highlight w:val="none"/>
        </w:rPr>
      </w:pPr>
      <w:r>
        <w:rPr>
          <w:rFonts w:hint="eastAsia" w:ascii="宋体" w:hAnsi="宋体"/>
          <w:szCs w:val="21"/>
          <w:highlight w:val="none"/>
          <w:u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14:paraId="6473E6DD">
      <w:pPr>
        <w:adjustRightInd w:val="0"/>
        <w:snapToGrid w:val="0"/>
        <w:spacing w:before="0" w:beforeLines="0" w:line="400" w:lineRule="exact"/>
        <w:ind w:firstLine="80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192501BF">
      <w:pPr>
        <w:adjustRightInd w:val="0"/>
        <w:snapToGrid w:val="0"/>
        <w:spacing w:before="0" w:beforeLines="0" w:line="400" w:lineRule="exact"/>
        <w:ind w:firstLine="800" w:firstLineChars="400"/>
        <w:rPr>
          <w:rFonts w:hint="eastAsia" w:ascii="宋体" w:hAnsi="宋体"/>
          <w:szCs w:val="21"/>
          <w:highlight w:val="none"/>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highlight w:val="none"/>
        </w:rPr>
        <w:t>类型</w:t>
      </w:r>
      <w:r>
        <w:rPr>
          <w:rFonts w:hint="eastAsia" w:ascii="宋体" w:hAnsi="宋体"/>
          <w:szCs w:val="21"/>
          <w:highlight w:val="none"/>
          <w:lang w:eastAsia="zh-CN"/>
        </w:rPr>
        <w:t>（如果供应商和制造商不同，只填写制造商类型）</w:t>
      </w:r>
      <w:r>
        <w:rPr>
          <w:rFonts w:hint="eastAsia" w:ascii="宋体" w:hAnsi="宋体"/>
          <w:szCs w:val="21"/>
          <w:highlight w:val="none"/>
        </w:rPr>
        <w:t>：</w:t>
      </w:r>
    </w:p>
    <w:p w14:paraId="16E01B89">
      <w:pPr>
        <w:adjustRightInd w:val="0"/>
        <w:snapToGrid w:val="0"/>
        <w:spacing w:beforeLines="0" w:line="400" w:lineRule="exact"/>
        <w:ind w:firstLine="800" w:firstLineChars="400"/>
        <w:rPr>
          <w:rFonts w:hint="eastAsia" w:ascii="宋体" w:hAnsi="宋体"/>
          <w:iCs/>
          <w:szCs w:val="21"/>
          <w:highlight w:val="none"/>
          <w:lang w:val="en-US" w:eastAsia="zh-CN"/>
        </w:rPr>
      </w:pP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大型企业  </w:t>
      </w:r>
      <w:r>
        <w:rPr>
          <w:rFonts w:hint="eastAsia" w:ascii="宋体" w:hAnsi="宋体"/>
          <w:iCs/>
          <w:szCs w:val="21"/>
          <w:highlight w:val="none"/>
        </w:rPr>
        <w:sym w:font="Wingdings" w:char="00A8"/>
      </w:r>
      <w:r>
        <w:rPr>
          <w:rFonts w:hint="eastAsia" w:ascii="宋体" w:hAnsi="宋体"/>
          <w:iCs/>
          <w:szCs w:val="21"/>
          <w:highlight w:val="none"/>
        </w:rPr>
        <w:t xml:space="preserve">中型企业  </w:t>
      </w:r>
      <w:r>
        <w:rPr>
          <w:rFonts w:hint="eastAsia" w:ascii="宋体" w:hAnsi="宋体"/>
          <w:iCs/>
          <w:szCs w:val="21"/>
          <w:highlight w:val="none"/>
        </w:rPr>
        <w:sym w:font="Wingdings" w:char="00A8"/>
      </w:r>
      <w:r>
        <w:rPr>
          <w:rFonts w:hint="eastAsia" w:ascii="宋体" w:hAnsi="宋体"/>
          <w:iCs/>
          <w:szCs w:val="21"/>
          <w:highlight w:val="none"/>
        </w:rPr>
        <w:t>小微型企业</w:t>
      </w:r>
      <w:r>
        <w:rPr>
          <w:rFonts w:hint="eastAsia" w:ascii="宋体" w:hAnsi="宋体"/>
          <w:iCs/>
          <w:szCs w:val="21"/>
          <w:highlight w:val="none"/>
          <w:lang w:val="en-US" w:eastAsia="zh-CN"/>
        </w:rPr>
        <w:t xml:space="preserve">  </w:t>
      </w:r>
    </w:p>
    <w:p w14:paraId="11DBD9F2">
      <w:pPr>
        <w:adjustRightInd w:val="0"/>
        <w:snapToGrid w:val="0"/>
        <w:spacing w:beforeLines="0" w:line="400" w:lineRule="exact"/>
        <w:ind w:firstLine="800" w:firstLineChars="400"/>
        <w:rPr>
          <w:rFonts w:hint="default" w:eastAsia="华文楷体"/>
          <w:highlight w:val="none"/>
          <w:u w:val="none"/>
          <w:lang w:val="en-US" w:eastAsia="zh-CN"/>
        </w:rPr>
      </w:pP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残疾人福利性单位</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监狱</w:t>
      </w:r>
      <w:r>
        <w:rPr>
          <w:rFonts w:hint="eastAsia" w:ascii="宋体" w:hAnsi="宋体"/>
          <w:iCs/>
          <w:szCs w:val="21"/>
          <w:highlight w:val="none"/>
        </w:rPr>
        <w:t>企业</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其他</w:t>
      </w:r>
    </w:p>
    <w:p w14:paraId="16BD5764">
      <w:pPr>
        <w:numPr>
          <w:ilvl w:val="0"/>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54852842">
      <w:pPr>
        <w:pStyle w:val="148"/>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1D41A8F5">
      <w:pPr>
        <w:numPr>
          <w:ilvl w:val="0"/>
          <w:numId w:val="0"/>
        </w:numPr>
        <w:adjustRightInd w:val="0"/>
        <w:snapToGrid w:val="0"/>
        <w:spacing w:before="0" w:beforeLines="0" w:line="400" w:lineRule="exact"/>
        <w:ind w:firstLine="420" w:firstLineChars="20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w:t>
      </w:r>
      <w:r>
        <w:rPr>
          <w:rFonts w:hint="default" w:ascii="宋体" w:hAnsi="宋体" w:cs="宋体"/>
          <w:b w:val="0"/>
          <w:bCs w:val="0"/>
          <w:sz w:val="21"/>
          <w:szCs w:val="21"/>
          <w:highlight w:val="none"/>
          <w:u w:val="none"/>
          <w:lang w:val="en" w:eastAsia="zh-CN"/>
        </w:rPr>
        <w:t>9</w:t>
      </w:r>
      <w:r>
        <w:rPr>
          <w:rFonts w:hint="eastAsia" w:ascii="宋体" w:hAnsi="宋体" w:eastAsia="宋体" w:cs="宋体"/>
          <w:b w:val="0"/>
          <w:bCs w:val="0"/>
          <w:sz w:val="21"/>
          <w:szCs w:val="21"/>
          <w:highlight w:val="none"/>
          <w:u w:val="none"/>
          <w:lang w:val="en-US" w:eastAsia="zh-CN"/>
        </w:rPr>
        <w:t>）是否涉及进口产品：</w:t>
      </w:r>
    </w:p>
    <w:p w14:paraId="1EE22C0B">
      <w:pPr>
        <w:numPr>
          <w:ilvl w:val="0"/>
          <w:numId w:val="0"/>
        </w:numPr>
        <w:adjustRightInd w:val="0"/>
        <w:snapToGrid w:val="0"/>
        <w:spacing w:before="0" w:beforeLines="0" w:line="400" w:lineRule="exact"/>
        <w:ind w:firstLine="800" w:firstLineChars="400"/>
        <w:rPr>
          <w:rFonts w:hint="eastAsia" w:ascii="宋体" w:hAnsi="宋体" w:eastAsia="宋体" w:cs="宋体"/>
          <w:szCs w:val="21"/>
          <w:highlight w:val="none"/>
          <w:u w:val="single"/>
          <w:lang w:val="en-US" w:eastAsia="zh-CN"/>
        </w:rPr>
      </w:pPr>
      <w:r>
        <w:rPr>
          <w:rFonts w:hint="eastAsia" w:ascii="宋体" w:hAnsi="宋体" w:cs="宋体"/>
          <w:iCs w:val="0"/>
          <w:szCs w:val="21"/>
          <w:highlight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是</w:t>
      </w:r>
      <w:r>
        <w:rPr>
          <w:rFonts w:hint="eastAsia" w:ascii="宋体" w:hAnsi="宋体" w:eastAsia="宋体" w:cs="宋体"/>
          <w:iCs w:val="0"/>
          <w:szCs w:val="21"/>
          <w:highlight w:val="none"/>
          <w:lang w:eastAsia="zh-CN"/>
        </w:rPr>
        <w:t>，</w:t>
      </w:r>
      <w:r>
        <w:rPr>
          <w:rFonts w:hint="eastAsia" w:ascii="宋体" w:hAnsi="宋体" w:cs="宋体"/>
          <w:iCs w:val="0"/>
          <w:szCs w:val="21"/>
          <w:highlight w:val="none"/>
          <w:lang w:eastAsia="zh-CN"/>
        </w:rPr>
        <w:t>《政府采购品目分类目录》底级品目名称</w:t>
      </w:r>
      <w:r>
        <w:rPr>
          <w:rFonts w:hint="eastAsia" w:ascii="宋体" w:hAnsi="宋体" w:eastAsia="宋体" w:cs="宋体"/>
          <w:szCs w:val="21"/>
          <w:highlight w:val="none"/>
          <w:lang w:val="en-US" w:eastAsia="zh-CN"/>
        </w:rPr>
        <w:t>：</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w:t>
      </w:r>
      <w:r>
        <w:rPr>
          <w:rFonts w:hint="eastAsia" w:ascii="宋体" w:hAnsi="宋体" w:cs="宋体"/>
          <w:szCs w:val="21"/>
          <w:highlight w:val="none"/>
          <w:lang w:val="en-US" w:eastAsia="zh-CN"/>
        </w:rPr>
        <w:t>金额：</w:t>
      </w:r>
    </w:p>
    <w:p w14:paraId="6B145352">
      <w:pPr>
        <w:numPr>
          <w:ilvl w:val="0"/>
          <w:numId w:val="0"/>
        </w:numPr>
        <w:adjustRightInd w:val="0"/>
        <w:snapToGrid w:val="0"/>
        <w:spacing w:before="0" w:beforeLines="0" w:line="400" w:lineRule="exact"/>
        <w:ind w:firstLine="800" w:firstLineChars="400"/>
        <w:rPr>
          <w:rFonts w:hint="eastAsia" w:ascii="宋体" w:hAnsi="宋体" w:eastAsia="宋体"/>
          <w:iCs w:val="0"/>
          <w:szCs w:val="21"/>
          <w:highlight w:val="none"/>
        </w:rPr>
      </w:pPr>
      <w:r>
        <w:rPr>
          <w:rFonts w:hint="eastAsia" w:ascii="宋体" w:hAnsi="宋体" w:cs="宋体"/>
          <w:szCs w:val="21"/>
          <w:highlight w:val="none"/>
          <w:lang w:val="en-US" w:eastAsia="zh-CN"/>
        </w:rPr>
        <w:t xml:space="preserve">        国别：</w:t>
      </w:r>
      <w:r>
        <w:rPr>
          <w:rFonts w:hint="eastAsia" w:ascii="宋体" w:hAnsi="宋体" w:eastAsia="宋体" w:cs="宋体"/>
          <w:szCs w:val="21"/>
          <w:highlight w:val="none"/>
          <w:u w:val="single"/>
          <w:lang w:val="en-US" w:eastAsia="zh-CN"/>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lang w:val="en-US" w:eastAsia="zh-CN"/>
        </w:rPr>
        <w:t xml:space="preserve"> </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lang w:val="en-US" w:eastAsia="zh-CN"/>
        </w:rPr>
        <w:t>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规格型号：</w:t>
      </w:r>
    </w:p>
    <w:p w14:paraId="0A822C1C">
      <w:pPr>
        <w:adjustRightInd w:val="0"/>
        <w:snapToGrid w:val="0"/>
        <w:spacing w:before="0" w:beforeLines="0" w:line="400" w:lineRule="exact"/>
        <w:ind w:firstLine="800" w:firstLineChars="400"/>
        <w:rPr>
          <w:rFonts w:hint="eastAsia" w:ascii="宋体" w:hAnsi="宋体"/>
          <w:szCs w:val="21"/>
          <w:highlight w:val="none"/>
          <w:u w:val="none"/>
          <w:lang w:val="en-US" w:eastAsia="zh-CN"/>
        </w:rPr>
      </w:pPr>
      <w:r>
        <w:rPr>
          <w:rFonts w:hint="eastAsia" w:ascii="宋体" w:hAnsi="宋体"/>
          <w:iCs w:val="0"/>
          <w:szCs w:val="21"/>
          <w:highlight w:val="none"/>
          <w:lang w:val="en-US" w:eastAsia="zh-CN"/>
        </w:rPr>
        <w:t xml:space="preserve"> </w:t>
      </w:r>
      <w:r>
        <w:rPr>
          <w:rFonts w:hint="eastAsia" w:ascii="宋体" w:hAnsi="宋体"/>
          <w:iCs w:val="0"/>
          <w:szCs w:val="21"/>
          <w:highlight w:val="none"/>
        </w:rPr>
        <w:sym w:font="Wingdings" w:char="00A8"/>
      </w:r>
      <w:r>
        <w:rPr>
          <w:rFonts w:hint="eastAsia" w:ascii="宋体" w:hAnsi="宋体" w:eastAsia="宋体"/>
          <w:iCs w:val="0"/>
          <w:szCs w:val="21"/>
          <w:highlight w:val="none"/>
          <w:lang w:eastAsia="zh-CN"/>
        </w:rPr>
        <w:t>否</w:t>
      </w:r>
    </w:p>
    <w:p w14:paraId="60E959F5">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highlight w:val="none"/>
          <w:u w:val="none"/>
          <w:lang w:val="en-US" w:eastAsia="zh-CN"/>
        </w:rPr>
      </w:pPr>
      <w:r>
        <w:rPr>
          <w:rFonts w:hint="eastAsia" w:ascii="宋体" w:hAnsi="宋体"/>
          <w:b w:val="0"/>
          <w:bCs w:val="0"/>
          <w:sz w:val="21"/>
          <w:szCs w:val="21"/>
          <w:highlight w:val="none"/>
          <w:u w:val="none"/>
          <w:lang w:val="en-US" w:eastAsia="zh-CN"/>
        </w:rPr>
        <w:t xml:space="preserve">    （1</w:t>
      </w:r>
      <w:r>
        <w:rPr>
          <w:rFonts w:hint="default" w:ascii="宋体" w:hAnsi="宋体"/>
          <w:b w:val="0"/>
          <w:bCs w:val="0"/>
          <w:sz w:val="21"/>
          <w:szCs w:val="21"/>
          <w:highlight w:val="none"/>
          <w:u w:val="none"/>
          <w:lang w:val="en" w:eastAsia="zh-CN"/>
        </w:rPr>
        <w:t>0</w:t>
      </w:r>
      <w:r>
        <w:rPr>
          <w:rFonts w:hint="eastAsia" w:ascii="宋体" w:hAnsi="宋体"/>
          <w:b w:val="0"/>
          <w:bCs w:val="0"/>
          <w:sz w:val="21"/>
          <w:szCs w:val="21"/>
          <w:highlight w:val="none"/>
          <w:u w:val="none"/>
          <w:lang w:val="en-US" w:eastAsia="zh-CN"/>
        </w:rPr>
        <w:t>）</w:t>
      </w:r>
      <w:r>
        <w:rPr>
          <w:rFonts w:hint="eastAsia" w:ascii="宋体" w:hAnsi="宋体" w:eastAsia="宋体"/>
          <w:b w:val="0"/>
          <w:bCs w:val="0"/>
          <w:sz w:val="21"/>
          <w:szCs w:val="21"/>
          <w:highlight w:val="none"/>
          <w:u w:val="none"/>
          <w:lang w:val="en-US" w:eastAsia="zh-CN"/>
        </w:rPr>
        <w:t>是否涉及节能产品：</w:t>
      </w:r>
    </w:p>
    <w:p w14:paraId="2560290B">
      <w:pPr>
        <w:numPr>
          <w:ilvl w:val="0"/>
          <w:numId w:val="0"/>
        </w:numPr>
        <w:tabs>
          <w:tab w:val="left" w:pos="740"/>
        </w:tabs>
        <w:adjustRightInd w:val="0"/>
        <w:snapToGrid w:val="0"/>
        <w:spacing w:before="0" w:beforeLines="0" w:line="400" w:lineRule="exact"/>
        <w:ind w:firstLine="0" w:firstLineChars="0"/>
        <w:rPr>
          <w:rFonts w:hint="eastAsia" w:ascii="宋体" w:hAnsi="宋体"/>
          <w:iCs/>
          <w:szCs w:val="21"/>
          <w:highlight w:val="none"/>
          <w:lang w:val="en-US" w:eastAsia="zh-CN"/>
        </w:rPr>
      </w:pPr>
      <w:r>
        <w:rPr>
          <w:rFonts w:hint="eastAsia" w:ascii="宋体" w:hAnsi="宋体"/>
          <w:b w:val="0"/>
          <w:bCs w:val="0"/>
          <w:sz w:val="21"/>
          <w:szCs w:val="21"/>
          <w:highlight w:val="none"/>
          <w:u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是</w:t>
      </w:r>
      <w:r>
        <w:rPr>
          <w:rFonts w:hint="eastAsia" w:ascii="宋体" w:hAnsi="宋体" w:eastAsia="宋体"/>
          <w:iCs w:val="0"/>
          <w:szCs w:val="21"/>
          <w:highlight w:val="none"/>
          <w:lang w:eastAsia="zh-CN"/>
        </w:rPr>
        <w:t>，</w:t>
      </w:r>
      <w:r>
        <w:rPr>
          <w:rFonts w:hint="eastAsia" w:ascii="宋体" w:hAnsi="宋体"/>
          <w:iCs w:val="0"/>
          <w:szCs w:val="21"/>
          <w:highlight w:val="none"/>
          <w:lang w:eastAsia="zh-CN"/>
        </w:rPr>
        <w:t>《节能产品政府采购品目清单》的底级品目名称：</w:t>
      </w:r>
    </w:p>
    <w:p w14:paraId="2F66C2A2">
      <w:pPr>
        <w:numPr>
          <w:ilvl w:val="0"/>
          <w:numId w:val="0"/>
        </w:numPr>
        <w:tabs>
          <w:tab w:val="left" w:pos="740"/>
        </w:tabs>
        <w:adjustRightInd w:val="0"/>
        <w:snapToGrid w:val="0"/>
        <w:spacing w:before="0" w:beforeLines="0" w:line="400" w:lineRule="exact"/>
        <w:ind w:firstLine="0" w:firstLineChars="0"/>
        <w:rPr>
          <w:rFonts w:hint="eastAsia" w:ascii="宋体" w:hAnsi="宋体"/>
          <w:iCs/>
          <w:szCs w:val="21"/>
          <w:highlight w:val="none"/>
          <w:lang w:val="en-US" w:eastAsia="zh-CN"/>
        </w:rPr>
      </w:pP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强制采购</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优先采购</w:t>
      </w:r>
      <w:r>
        <w:rPr>
          <w:rFonts w:hint="eastAsia" w:ascii="宋体" w:hAnsi="宋体"/>
          <w:iCs/>
          <w:szCs w:val="21"/>
          <w:highlight w:val="none"/>
          <w:lang w:val="en-US" w:eastAsia="zh-CN"/>
        </w:rPr>
        <w:t xml:space="preserve">    </w:t>
      </w:r>
    </w:p>
    <w:p w14:paraId="536803D9">
      <w:pPr>
        <w:numPr>
          <w:ilvl w:val="0"/>
          <w:numId w:val="0"/>
        </w:numPr>
        <w:tabs>
          <w:tab w:val="left" w:pos="740"/>
        </w:tabs>
        <w:adjustRightInd w:val="0"/>
        <w:snapToGrid w:val="0"/>
        <w:spacing w:before="0" w:beforeLines="0" w:line="400" w:lineRule="exact"/>
        <w:ind w:firstLine="0" w:firstLineChars="0"/>
        <w:rPr>
          <w:rFonts w:hint="eastAsia" w:ascii="宋体" w:hAnsi="宋体" w:eastAsia="宋体"/>
          <w:iCs w:val="0"/>
          <w:szCs w:val="21"/>
          <w:highlight w:val="none"/>
        </w:rPr>
      </w:pPr>
      <w:r>
        <w:rPr>
          <w:rFonts w:hint="eastAsia" w:ascii="宋体" w:hAnsi="宋体"/>
          <w:iCs/>
          <w:szCs w:val="21"/>
          <w:highlight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否</w:t>
      </w:r>
    </w:p>
    <w:p w14:paraId="58D525E0">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highlight w:val="none"/>
          <w:u w:val="none"/>
          <w:lang w:val="en-US" w:eastAsia="zh-CN"/>
        </w:rPr>
      </w:pPr>
      <w:r>
        <w:rPr>
          <w:rFonts w:hint="eastAsia" w:ascii="宋体" w:hAnsi="宋体"/>
          <w:b w:val="0"/>
          <w:bCs w:val="0"/>
          <w:sz w:val="21"/>
          <w:szCs w:val="21"/>
          <w:highlight w:val="none"/>
          <w:u w:val="none"/>
          <w:lang w:val="en-US" w:eastAsia="zh-CN"/>
        </w:rPr>
        <w:t xml:space="preserve">          </w:t>
      </w:r>
      <w:r>
        <w:rPr>
          <w:rFonts w:hint="eastAsia" w:ascii="宋体" w:hAnsi="宋体" w:eastAsia="宋体"/>
          <w:b w:val="0"/>
          <w:bCs w:val="0"/>
          <w:sz w:val="21"/>
          <w:szCs w:val="21"/>
          <w:highlight w:val="none"/>
          <w:u w:val="none"/>
          <w:lang w:val="en-US" w:eastAsia="zh-CN"/>
        </w:rPr>
        <w:t>是否涉及</w:t>
      </w:r>
      <w:r>
        <w:rPr>
          <w:rFonts w:hint="eastAsia" w:ascii="宋体" w:hAnsi="宋体"/>
          <w:b w:val="0"/>
          <w:bCs w:val="0"/>
          <w:sz w:val="21"/>
          <w:szCs w:val="21"/>
          <w:highlight w:val="none"/>
          <w:u w:val="none"/>
          <w:lang w:val="en-US" w:eastAsia="zh-CN"/>
        </w:rPr>
        <w:t>环境标志</w:t>
      </w:r>
      <w:r>
        <w:rPr>
          <w:rFonts w:hint="eastAsia" w:ascii="宋体" w:hAnsi="宋体" w:eastAsia="宋体"/>
          <w:b w:val="0"/>
          <w:bCs w:val="0"/>
          <w:sz w:val="21"/>
          <w:szCs w:val="21"/>
          <w:highlight w:val="none"/>
          <w:u w:val="none"/>
          <w:lang w:val="en-US" w:eastAsia="zh-CN"/>
        </w:rPr>
        <w:t>产品：</w:t>
      </w:r>
    </w:p>
    <w:p w14:paraId="0A762EF9">
      <w:pPr>
        <w:numPr>
          <w:ilvl w:val="0"/>
          <w:numId w:val="0"/>
        </w:numPr>
        <w:tabs>
          <w:tab w:val="left" w:pos="740"/>
        </w:tabs>
        <w:adjustRightInd w:val="0"/>
        <w:snapToGrid w:val="0"/>
        <w:spacing w:before="0" w:beforeLines="0" w:line="400" w:lineRule="exact"/>
        <w:ind w:firstLine="0" w:firstLineChars="0"/>
        <w:rPr>
          <w:rFonts w:hint="eastAsia" w:ascii="宋体" w:hAnsi="宋体"/>
          <w:iCs w:val="0"/>
          <w:szCs w:val="21"/>
          <w:highlight w:val="none"/>
          <w:lang w:eastAsia="zh-CN"/>
        </w:rPr>
      </w:pPr>
      <w:r>
        <w:rPr>
          <w:rFonts w:hint="eastAsia" w:ascii="宋体" w:hAnsi="宋体"/>
          <w:b w:val="0"/>
          <w:bCs w:val="0"/>
          <w:sz w:val="21"/>
          <w:szCs w:val="21"/>
          <w:highlight w:val="none"/>
          <w:u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是</w:t>
      </w:r>
      <w:r>
        <w:rPr>
          <w:rFonts w:hint="eastAsia" w:ascii="宋体" w:hAnsi="宋体" w:eastAsia="宋体"/>
          <w:iCs w:val="0"/>
          <w:szCs w:val="21"/>
          <w:highlight w:val="none"/>
          <w:lang w:eastAsia="zh-CN"/>
        </w:rPr>
        <w:t>，</w:t>
      </w:r>
      <w:r>
        <w:rPr>
          <w:rFonts w:hint="eastAsia" w:ascii="宋体" w:hAnsi="宋体"/>
          <w:iCs w:val="0"/>
          <w:szCs w:val="21"/>
          <w:highlight w:val="none"/>
          <w:lang w:eastAsia="zh-CN"/>
        </w:rPr>
        <w:t>《环境标志产品政府采购品目清单》的底级品目名称：</w:t>
      </w:r>
    </w:p>
    <w:p w14:paraId="23CD8C12">
      <w:pPr>
        <w:numPr>
          <w:ilvl w:val="0"/>
          <w:numId w:val="0"/>
        </w:numPr>
        <w:tabs>
          <w:tab w:val="left" w:pos="740"/>
        </w:tabs>
        <w:adjustRightInd w:val="0"/>
        <w:snapToGrid w:val="0"/>
        <w:spacing w:before="0" w:beforeLines="0" w:line="400" w:lineRule="exact"/>
        <w:ind w:firstLine="0" w:firstLineChars="0"/>
        <w:rPr>
          <w:rFonts w:hint="eastAsia" w:ascii="宋体" w:hAnsi="宋体"/>
          <w:iCs/>
          <w:szCs w:val="21"/>
          <w:highlight w:val="none"/>
          <w:lang w:val="en-US" w:eastAsia="zh-CN"/>
        </w:rPr>
      </w:pP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强制采购</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优先采购</w:t>
      </w:r>
      <w:r>
        <w:rPr>
          <w:rFonts w:hint="eastAsia" w:ascii="宋体" w:hAnsi="宋体"/>
          <w:iCs/>
          <w:szCs w:val="21"/>
          <w:highlight w:val="none"/>
          <w:lang w:val="en-US" w:eastAsia="zh-CN"/>
        </w:rPr>
        <w:t xml:space="preserve">    </w:t>
      </w:r>
    </w:p>
    <w:p w14:paraId="2E9CA3BB">
      <w:pPr>
        <w:numPr>
          <w:ilvl w:val="0"/>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highlight w:val="none"/>
          <w:u w:val="none"/>
          <w:lang w:val="en-US" w:eastAsia="zh-CN"/>
        </w:rPr>
      </w:pPr>
      <w:r>
        <w:rPr>
          <w:rFonts w:hint="eastAsia" w:ascii="宋体" w:hAnsi="宋体"/>
          <w:iCs/>
          <w:szCs w:val="21"/>
          <w:highlight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否</w:t>
      </w:r>
    </w:p>
    <w:p w14:paraId="0889F734">
      <w:pPr>
        <w:pStyle w:val="148"/>
        <w:numPr>
          <w:ilvl w:val="0"/>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highlight w:val="none"/>
          <w:u w:val="none"/>
          <w:lang w:val="en-US" w:eastAsia="zh-CN"/>
        </w:rPr>
      </w:pPr>
      <w:r>
        <w:rPr>
          <w:rFonts w:hint="eastAsia" w:ascii="宋体" w:hAnsi="宋体"/>
          <w:b w:val="0"/>
          <w:bCs w:val="0"/>
          <w:sz w:val="21"/>
          <w:szCs w:val="21"/>
          <w:highlight w:val="none"/>
          <w:u w:val="none"/>
          <w:lang w:val="en-US" w:eastAsia="zh-CN"/>
        </w:rPr>
        <w:t xml:space="preserve">          </w:t>
      </w:r>
      <w:r>
        <w:rPr>
          <w:rFonts w:hint="eastAsia" w:ascii="宋体" w:hAnsi="宋体" w:eastAsia="宋体" w:cs="Times New Roman"/>
          <w:b w:val="0"/>
          <w:bCs w:val="0"/>
          <w:kern w:val="2"/>
          <w:sz w:val="21"/>
          <w:szCs w:val="21"/>
          <w:highlight w:val="none"/>
          <w:u w:val="none"/>
          <w:lang w:val="en-US" w:eastAsia="zh-CN"/>
        </w:rPr>
        <w:t>是否涉及绿色产品：</w:t>
      </w:r>
      <w:r>
        <w:rPr>
          <w:rFonts w:hint="eastAsia" w:ascii="宋体" w:hAnsi="宋体" w:eastAsia="宋体" w:cs="Times New Roman"/>
          <w:iCs w:val="0"/>
          <w:kern w:val="2"/>
          <w:sz w:val="21"/>
          <w:szCs w:val="21"/>
          <w:highlight w:val="none"/>
          <w:u w:val="none"/>
          <w:lang w:val="en-US" w:eastAsia="zh-CN"/>
        </w:rPr>
        <w:t xml:space="preserve"> </w:t>
      </w:r>
    </w:p>
    <w:p w14:paraId="06FDE6BC">
      <w:pPr>
        <w:pStyle w:val="148"/>
        <w:spacing w:beforeLines="0"/>
        <w:ind w:firstLine="420" w:firstLineChars="0"/>
        <w:rPr>
          <w:rFonts w:hint="eastAsia" w:ascii="宋体" w:hAnsi="宋体" w:eastAsia="宋体"/>
          <w:szCs w:val="21"/>
          <w:highlight w:val="none"/>
          <w:u w:val="single"/>
          <w:lang w:val="en-US" w:eastAsia="zh-CN"/>
        </w:rPr>
      </w:pPr>
      <w:r>
        <w:rPr>
          <w:rFonts w:hint="eastAsia" w:ascii="宋体" w:hAnsi="宋体" w:eastAsia="宋体" w:cs="Times New Roman"/>
          <w:iCs w:val="0"/>
          <w:kern w:val="2"/>
          <w:sz w:val="21"/>
          <w:szCs w:val="21"/>
          <w:highlight w:val="none"/>
          <w:u w:val="none"/>
          <w:lang w:val="en-US" w:eastAsia="zh-CN"/>
        </w:rPr>
        <w:t xml:space="preserve">     </w:t>
      </w:r>
      <w:r>
        <w:rPr>
          <w:rFonts w:hint="eastAsia" w:ascii="宋体" w:hAnsi="宋体" w:eastAsia="宋体" w:cs="Times New Roman"/>
          <w:iCs w:val="0"/>
          <w:kern w:val="2"/>
          <w:sz w:val="21"/>
          <w:szCs w:val="21"/>
          <w:highlight w:val="none"/>
          <w:u w:val="none"/>
        </w:rPr>
        <w:sym w:font="Wingdings" w:char="00A8"/>
      </w:r>
      <w:r>
        <w:rPr>
          <w:rFonts w:hint="eastAsia" w:ascii="宋体" w:hAnsi="宋体" w:eastAsia="宋体" w:cs="Times New Roman"/>
          <w:iCs w:val="0"/>
          <w:kern w:val="2"/>
          <w:sz w:val="21"/>
          <w:szCs w:val="21"/>
          <w:highlight w:val="none"/>
          <w:u w:val="none"/>
        </w:rPr>
        <w:t>是</w:t>
      </w:r>
      <w:r>
        <w:rPr>
          <w:rFonts w:hint="eastAsia" w:ascii="宋体" w:hAnsi="宋体" w:eastAsia="宋体" w:cs="Times New Roman"/>
          <w:iCs w:val="0"/>
          <w:kern w:val="2"/>
          <w:sz w:val="21"/>
          <w:szCs w:val="21"/>
          <w:highlight w:val="none"/>
          <w:u w:val="none"/>
          <w:lang w:eastAsia="zh-CN"/>
        </w:rPr>
        <w:t>，绿色产品政府采购相关政策确定的底级品目名称：</w:t>
      </w:r>
    </w:p>
    <w:p w14:paraId="7A96ADEB">
      <w:pPr>
        <w:numPr>
          <w:ilvl w:val="0"/>
          <w:numId w:val="0"/>
        </w:numPr>
        <w:tabs>
          <w:tab w:val="left" w:pos="740"/>
        </w:tabs>
        <w:adjustRightInd w:val="0"/>
        <w:snapToGrid w:val="0"/>
        <w:spacing w:before="0" w:beforeLines="0" w:line="400" w:lineRule="exact"/>
        <w:ind w:firstLine="0" w:firstLineChars="0"/>
        <w:rPr>
          <w:rFonts w:hint="eastAsia" w:ascii="宋体" w:hAnsi="宋体"/>
          <w:iCs/>
          <w:szCs w:val="21"/>
          <w:highlight w:val="none"/>
          <w:lang w:val="en-US" w:eastAsia="zh-CN"/>
        </w:rPr>
      </w:pP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强制采购</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优先采购</w:t>
      </w:r>
      <w:r>
        <w:rPr>
          <w:rFonts w:hint="eastAsia" w:ascii="宋体" w:hAnsi="宋体"/>
          <w:iCs/>
          <w:szCs w:val="21"/>
          <w:highlight w:val="none"/>
          <w:lang w:val="en-US" w:eastAsia="zh-CN"/>
        </w:rPr>
        <w:t xml:space="preserve">    </w:t>
      </w:r>
    </w:p>
    <w:p w14:paraId="26097000">
      <w:pPr>
        <w:pStyle w:val="148"/>
        <w:spacing w:beforeLines="0"/>
        <w:ind w:firstLine="420" w:firstLineChars="0"/>
        <w:rPr>
          <w:rFonts w:hint="eastAsia" w:ascii="宋体" w:hAnsi="宋体"/>
          <w:b w:val="0"/>
          <w:bCs w:val="0"/>
          <w:sz w:val="21"/>
          <w:szCs w:val="21"/>
          <w:highlight w:val="none"/>
          <w:u w:val="none"/>
          <w:lang w:val="en-US" w:eastAsia="zh-CN"/>
        </w:rPr>
      </w:pPr>
      <w:r>
        <w:rPr>
          <w:rFonts w:hint="eastAsia" w:ascii="宋体" w:hAnsi="宋体" w:eastAsia="宋体" w:cs="Times New Roman"/>
          <w:iCs w:val="0"/>
          <w:kern w:val="2"/>
          <w:sz w:val="21"/>
          <w:szCs w:val="21"/>
          <w:highlight w:val="none"/>
          <w:u w:val="none"/>
          <w:lang w:val="en-US" w:eastAsia="zh-CN"/>
        </w:rPr>
        <w:t xml:space="preserve">     </w:t>
      </w:r>
      <w:r>
        <w:rPr>
          <w:rFonts w:hint="eastAsia" w:ascii="宋体" w:hAnsi="宋体" w:eastAsia="宋体" w:cs="Times New Roman"/>
          <w:iCs w:val="0"/>
          <w:kern w:val="2"/>
          <w:sz w:val="21"/>
          <w:szCs w:val="21"/>
          <w:highlight w:val="none"/>
          <w:u w:val="none"/>
        </w:rPr>
        <w:sym w:font="Wingdings" w:char="00A8"/>
      </w:r>
      <w:r>
        <w:rPr>
          <w:rFonts w:hint="eastAsia" w:ascii="宋体" w:hAnsi="宋体" w:eastAsia="宋体" w:cs="Times New Roman"/>
          <w:iCs w:val="0"/>
          <w:kern w:val="2"/>
          <w:sz w:val="21"/>
          <w:szCs w:val="21"/>
          <w:highlight w:val="none"/>
          <w:u w:val="none"/>
        </w:rPr>
        <w:t>否</w:t>
      </w:r>
    </w:p>
    <w:p w14:paraId="30F5B254">
      <w:pPr>
        <w:numPr>
          <w:ilvl w:val="0"/>
          <w:numId w:val="0"/>
        </w:numPr>
        <w:adjustRightInd w:val="0"/>
        <w:snapToGrid w:val="0"/>
        <w:spacing w:before="0" w:beforeLines="0" w:line="400" w:lineRule="exact"/>
        <w:ind w:firstLine="0" w:firstLineChars="0"/>
        <w:rPr>
          <w:rFonts w:hint="eastAsia" w:ascii="宋体" w:hAnsi="宋体" w:eastAsia="宋体"/>
          <w:szCs w:val="21"/>
          <w:highlight w:val="none"/>
          <w:lang w:val="en-US" w:eastAsia="zh-CN"/>
        </w:rPr>
      </w:pPr>
      <w:r>
        <w:rPr>
          <w:rFonts w:hint="eastAsia" w:ascii="宋体" w:hAnsi="宋体"/>
          <w:szCs w:val="21"/>
          <w:highlight w:val="none"/>
          <w:lang w:val="en-US" w:eastAsia="zh-CN"/>
        </w:rPr>
        <w:t xml:space="preserve">    （1</w:t>
      </w:r>
      <w:r>
        <w:rPr>
          <w:rFonts w:hint="default" w:ascii="宋体" w:hAnsi="宋体"/>
          <w:szCs w:val="21"/>
          <w:highlight w:val="none"/>
          <w:lang w:val="en" w:eastAsia="zh-CN"/>
        </w:rPr>
        <w:t>1</w:t>
      </w:r>
      <w:r>
        <w:rPr>
          <w:rFonts w:hint="eastAsia" w:ascii="宋体" w:hAnsi="宋体"/>
          <w:szCs w:val="21"/>
          <w:highlight w:val="none"/>
          <w:lang w:val="en-US" w:eastAsia="zh-CN"/>
        </w:rPr>
        <w:t>）</w:t>
      </w:r>
      <w:r>
        <w:rPr>
          <w:rFonts w:hint="eastAsia" w:ascii="宋体" w:hAnsi="宋体" w:eastAsia="宋体"/>
          <w:szCs w:val="21"/>
          <w:highlight w:val="none"/>
          <w:lang w:val="en-US" w:eastAsia="zh-CN"/>
        </w:rPr>
        <w:t>涉及商品包装和快递包装的，是否参考</w:t>
      </w:r>
      <w:r>
        <w:rPr>
          <w:rFonts w:hint="eastAsia" w:ascii="宋体" w:hAnsi="宋体"/>
          <w:szCs w:val="21"/>
          <w:highlight w:val="none"/>
        </w:rPr>
        <w:t>《商品包装政府采购需求标准（试行）》、《快递包装政府采购需求标准（试行）》</w:t>
      </w:r>
      <w:r>
        <w:rPr>
          <w:rFonts w:hint="eastAsia" w:ascii="宋体" w:hAnsi="宋体" w:eastAsia="宋体"/>
          <w:szCs w:val="21"/>
          <w:highlight w:val="none"/>
          <w:lang w:eastAsia="zh-CN"/>
        </w:rPr>
        <w:t>明确产品及相关快递服务的具体包装要求：</w:t>
      </w:r>
    </w:p>
    <w:p w14:paraId="2D62473F">
      <w:pPr>
        <w:numPr>
          <w:ilvl w:val="0"/>
          <w:numId w:val="0"/>
        </w:numPr>
        <w:adjustRightInd w:val="0"/>
        <w:snapToGrid w:val="0"/>
        <w:spacing w:before="0" w:beforeLines="0" w:line="400" w:lineRule="exact"/>
        <w:ind w:firstLine="800" w:firstLineChars="400"/>
        <w:rPr>
          <w:rFonts w:hint="eastAsia" w:ascii="宋体" w:hAnsi="宋体" w:eastAsia="宋体"/>
          <w:iCs w:val="0"/>
          <w:szCs w:val="21"/>
          <w:highlight w:val="none"/>
          <w:lang w:val="en-US" w:eastAsia="zh-CN"/>
        </w:rPr>
      </w:pPr>
      <w:r>
        <w:rPr>
          <w:rFonts w:hint="eastAsia" w:ascii="宋体" w:hAnsi="宋体" w:eastAsia="宋体"/>
          <w:iCs w:val="0"/>
          <w:szCs w:val="21"/>
          <w:highlight w:val="none"/>
        </w:rPr>
        <w:sym w:font="Wingdings" w:char="00A8"/>
      </w:r>
      <w:r>
        <w:rPr>
          <w:rFonts w:hint="eastAsia" w:ascii="宋体" w:hAnsi="宋体" w:eastAsia="宋体"/>
          <w:iCs w:val="0"/>
          <w:szCs w:val="21"/>
          <w:highlight w:val="none"/>
        </w:rPr>
        <w:t xml:space="preserve">是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否</w:t>
      </w:r>
      <w:r>
        <w:rPr>
          <w:rFonts w:hint="eastAsia" w:ascii="宋体" w:hAnsi="宋体" w:eastAsia="宋体"/>
          <w:iCs w:val="0"/>
          <w:szCs w:val="21"/>
          <w:highlight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lang w:eastAsia="zh-CN"/>
        </w:rPr>
        <w:t>不涉及</w:t>
      </w:r>
    </w:p>
    <w:p w14:paraId="2F94C3E9">
      <w:pPr>
        <w:numPr>
          <w:ilvl w:val="0"/>
          <w:numId w:val="2"/>
        </w:numPr>
        <w:adjustRightInd w:val="0"/>
        <w:snapToGrid w:val="0"/>
        <w:spacing w:before="0" w:beforeLines="0" w:line="400" w:lineRule="exact"/>
        <w:ind w:firstLine="402" w:firstLineChars="200"/>
        <w:rPr>
          <w:rFonts w:ascii="宋体" w:hAnsi="宋体"/>
          <w:b/>
          <w:szCs w:val="21"/>
          <w:highlight w:val="none"/>
        </w:rPr>
      </w:pPr>
      <w:r>
        <w:rPr>
          <w:rFonts w:hint="eastAsia" w:ascii="宋体" w:hAnsi="宋体"/>
          <w:b/>
          <w:szCs w:val="21"/>
          <w:highlight w:val="none"/>
        </w:rPr>
        <w:t>合同金额</w:t>
      </w:r>
    </w:p>
    <w:p w14:paraId="4CCDDFAF">
      <w:pPr>
        <w:adjustRightInd w:val="0"/>
        <w:snapToGrid w:val="0"/>
        <w:spacing w:before="0" w:beforeLines="0" w:line="400" w:lineRule="exact"/>
        <w:ind w:firstLine="400" w:firstLineChars="200"/>
        <w:rPr>
          <w:rFonts w:ascii="宋体" w:hAnsi="宋体"/>
          <w:szCs w:val="21"/>
          <w:highlight w:val="none"/>
        </w:rPr>
      </w:pPr>
      <w:r>
        <w:rPr>
          <w:rFonts w:hint="eastAsia" w:ascii="宋体" w:hAnsi="宋体"/>
          <w:szCs w:val="21"/>
          <w:highlight w:val="none"/>
        </w:rPr>
        <w:t>（1）合同金额小写：</w:t>
      </w:r>
    </w:p>
    <w:p w14:paraId="492C8289">
      <w:pPr>
        <w:adjustRightInd w:val="0"/>
        <w:snapToGrid w:val="0"/>
        <w:spacing w:before="0" w:beforeLines="0" w:line="400" w:lineRule="exact"/>
        <w:ind w:left="0" w:firstLine="0" w:firstLineChars="0"/>
        <w:rPr>
          <w:rFonts w:ascii="宋体" w:hAnsi="宋体"/>
          <w:szCs w:val="21"/>
          <w:highlight w:val="none"/>
          <w:u w:val="single"/>
        </w:rPr>
      </w:pPr>
      <w:r>
        <w:rPr>
          <w:rFonts w:hint="eastAsia" w:ascii="宋体" w:hAnsi="宋体"/>
          <w:szCs w:val="21"/>
          <w:highlight w:val="none"/>
          <w:lang w:val="en-US" w:eastAsia="zh-CN"/>
        </w:rPr>
        <w:t xml:space="preserve">                 </w:t>
      </w:r>
      <w:r>
        <w:rPr>
          <w:rFonts w:hint="eastAsia" w:ascii="宋体" w:hAnsi="宋体"/>
          <w:szCs w:val="21"/>
          <w:highlight w:val="none"/>
        </w:rPr>
        <w:t>大写：</w:t>
      </w:r>
    </w:p>
    <w:p w14:paraId="21EB05C8">
      <w:pPr>
        <w:adjustRightInd w:val="0"/>
        <w:snapToGrid w:val="0"/>
        <w:spacing w:before="0" w:beforeLines="0" w:line="400" w:lineRule="exact"/>
        <w:ind w:firstLine="0" w:firstLineChars="0"/>
        <w:rPr>
          <w:rFonts w:ascii="宋体" w:hAnsi="宋体"/>
          <w:szCs w:val="21"/>
          <w:highlight w:val="none"/>
        </w:rPr>
      </w:pPr>
      <w:r>
        <w:rPr>
          <w:rFonts w:hint="eastAsia" w:ascii="宋体" w:hAnsi="宋体"/>
          <w:szCs w:val="21"/>
          <w:highlight w:val="none"/>
          <w:lang w:val="en-US" w:eastAsia="zh-CN"/>
        </w:rPr>
        <w:t xml:space="preserve">         </w:t>
      </w:r>
      <w:r>
        <w:rPr>
          <w:rFonts w:hint="eastAsia" w:ascii="宋体" w:hAnsi="宋体"/>
          <w:szCs w:val="21"/>
          <w:highlight w:val="none"/>
        </w:rPr>
        <w:t>分包金额</w:t>
      </w:r>
      <w:r>
        <w:rPr>
          <w:rFonts w:hint="eastAsia" w:ascii="宋体" w:hAnsi="宋体"/>
          <w:szCs w:val="21"/>
          <w:highlight w:val="none"/>
          <w:lang w:eastAsia="zh-CN"/>
        </w:rPr>
        <w:t>（如有）</w:t>
      </w:r>
      <w:r>
        <w:rPr>
          <w:rFonts w:hint="eastAsia" w:ascii="宋体" w:hAnsi="宋体"/>
          <w:szCs w:val="21"/>
          <w:highlight w:val="none"/>
        </w:rPr>
        <w:t>小写：</w:t>
      </w:r>
    </w:p>
    <w:p w14:paraId="04B10055">
      <w:pPr>
        <w:adjustRightInd w:val="0"/>
        <w:snapToGrid w:val="0"/>
        <w:spacing w:before="0" w:beforeLines="0" w:line="400" w:lineRule="exact"/>
        <w:ind w:firstLine="0" w:firstLineChars="0"/>
        <w:rPr>
          <w:rFonts w:hint="eastAsia" w:ascii="宋体" w:hAnsi="宋体"/>
          <w:szCs w:val="21"/>
          <w:highlight w:val="none"/>
          <w:u w:val="single"/>
        </w:rPr>
      </w:pPr>
      <w:r>
        <w:rPr>
          <w:rFonts w:hint="eastAsia" w:ascii="宋体" w:hAnsi="宋体"/>
          <w:szCs w:val="21"/>
          <w:highlight w:val="none"/>
          <w:lang w:val="en-US" w:eastAsia="zh-CN"/>
        </w:rPr>
        <w:t xml:space="preserve">                     </w:t>
      </w:r>
      <w:r>
        <w:rPr>
          <w:rFonts w:hint="eastAsia" w:ascii="宋体" w:hAnsi="宋体"/>
          <w:szCs w:val="21"/>
          <w:highlight w:val="none"/>
        </w:rPr>
        <w:t>大写：</w:t>
      </w:r>
    </w:p>
    <w:p w14:paraId="79709F27">
      <w:pPr>
        <w:adjustRightInd w:val="0"/>
        <w:snapToGrid w:val="0"/>
        <w:spacing w:before="0" w:beforeLines="0" w:line="400" w:lineRule="exact"/>
        <w:ind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 xml:space="preserve">    （注：固定单价合同应填写单价和最高限价）</w:t>
      </w:r>
    </w:p>
    <w:p w14:paraId="55EF74A2">
      <w:pPr>
        <w:numPr>
          <w:ilvl w:val="0"/>
          <w:numId w:val="0"/>
        </w:numPr>
        <w:adjustRightInd w:val="0"/>
        <w:snapToGrid w:val="0"/>
        <w:spacing w:before="0" w:beforeLines="0" w:line="400" w:lineRule="exact"/>
        <w:ind w:firstLine="0" w:firstLineChars="0"/>
        <w:rPr>
          <w:rFonts w:hint="eastAsia" w:ascii="宋体" w:hAnsi="宋体"/>
          <w:szCs w:val="21"/>
          <w:highlight w:val="none"/>
        </w:rPr>
      </w:pPr>
      <w:r>
        <w:rPr>
          <w:rFonts w:hint="eastAsia" w:ascii="宋体" w:hAnsi="宋体"/>
          <w:szCs w:val="21"/>
          <w:highlight w:val="none"/>
          <w:lang w:val="en-US" w:eastAsia="zh-CN"/>
        </w:rPr>
        <w:t xml:space="preserve">    </w:t>
      </w:r>
      <w:r>
        <w:rPr>
          <w:rFonts w:hint="eastAsia" w:ascii="宋体" w:hAnsi="宋体"/>
          <w:szCs w:val="21"/>
          <w:highlight w:val="none"/>
          <w:lang w:eastAsia="zh-CN"/>
        </w:rPr>
        <w:t>（</w:t>
      </w:r>
      <w:r>
        <w:rPr>
          <w:rFonts w:hint="eastAsia" w:ascii="宋体" w:hAnsi="宋体"/>
          <w:szCs w:val="21"/>
          <w:highlight w:val="none"/>
          <w:lang w:val="en-US" w:eastAsia="zh-CN"/>
        </w:rPr>
        <w:t>2</w:t>
      </w:r>
      <w:r>
        <w:rPr>
          <w:rFonts w:hint="eastAsia" w:ascii="宋体" w:hAnsi="宋体"/>
          <w:szCs w:val="21"/>
          <w:highlight w:val="none"/>
          <w:lang w:eastAsia="zh-CN"/>
        </w:rPr>
        <w:t>）</w:t>
      </w:r>
      <w:r>
        <w:rPr>
          <w:rFonts w:hint="eastAsia" w:ascii="宋体" w:hAnsi="宋体"/>
          <w:szCs w:val="21"/>
          <w:highlight w:val="none"/>
        </w:rPr>
        <w:t>合同定价方式</w:t>
      </w:r>
      <w:r>
        <w:rPr>
          <w:rFonts w:hint="eastAsia" w:ascii="宋体" w:hAnsi="宋体"/>
          <w:szCs w:val="21"/>
          <w:highlight w:val="none"/>
          <w:lang w:eastAsia="zh-CN"/>
        </w:rPr>
        <w:t>（采用组合定价方式的，可以勾选多项）</w:t>
      </w:r>
      <w:r>
        <w:rPr>
          <w:rFonts w:hint="eastAsia" w:ascii="宋体" w:hAnsi="宋体"/>
          <w:szCs w:val="21"/>
          <w:highlight w:val="none"/>
        </w:rPr>
        <w:t>：</w:t>
      </w:r>
    </w:p>
    <w:p w14:paraId="34FE3901">
      <w:pPr>
        <w:adjustRightInd w:val="0"/>
        <w:snapToGrid w:val="0"/>
        <w:spacing w:before="0" w:beforeLines="0" w:line="400" w:lineRule="exact"/>
        <w:ind w:firstLine="400" w:firstLineChars="200"/>
        <w:rPr>
          <w:rFonts w:hint="eastAsia" w:ascii="宋体" w:hAnsi="宋体" w:eastAsia="宋体"/>
          <w:szCs w:val="21"/>
          <w:highlight w:val="none"/>
          <w:lang w:eastAsia="zh-CN"/>
        </w:rPr>
      </w:pP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固定总价 </w:t>
      </w:r>
      <w:r>
        <w:rPr>
          <w:rFonts w:hint="eastAsia" w:ascii="宋体" w:hAnsi="宋体"/>
          <w:iCs/>
          <w:szCs w:val="21"/>
          <w:highlight w:val="none"/>
        </w:rPr>
        <w:sym w:font="Wingdings" w:char="00A8"/>
      </w:r>
      <w:r>
        <w:rPr>
          <w:rFonts w:hint="eastAsia" w:ascii="宋体" w:hAnsi="宋体"/>
          <w:iCs/>
          <w:szCs w:val="21"/>
          <w:highlight w:val="none"/>
        </w:rPr>
        <w:t>固定单价</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固定费率</w:t>
      </w: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成本补偿 </w:t>
      </w:r>
      <w:r>
        <w:rPr>
          <w:rFonts w:hint="eastAsia" w:ascii="宋体" w:hAnsi="宋体"/>
          <w:iCs/>
          <w:szCs w:val="21"/>
          <w:highlight w:val="none"/>
        </w:rPr>
        <w:sym w:font="Wingdings" w:char="00A8"/>
      </w:r>
      <w:r>
        <w:rPr>
          <w:rFonts w:hint="eastAsia" w:ascii="宋体" w:hAnsi="宋体"/>
          <w:iCs/>
          <w:szCs w:val="21"/>
          <w:highlight w:val="none"/>
        </w:rPr>
        <w:t>绩效激励</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其他</w:t>
      </w:r>
    </w:p>
    <w:p w14:paraId="00A59E32">
      <w:pPr>
        <w:pStyle w:val="133"/>
        <w:tabs>
          <w:tab w:val="left" w:pos="902"/>
        </w:tabs>
        <w:spacing w:beforeLines="0" w:line="400" w:lineRule="exact"/>
        <w:rPr>
          <w:highlight w:val="none"/>
        </w:rPr>
      </w:pPr>
      <w:r>
        <w:rPr>
          <w:rFonts w:hint="eastAsia" w:ascii="宋体" w:hAnsi="宋体"/>
          <w:highlight w:val="none"/>
        </w:rPr>
        <w:t>（</w:t>
      </w:r>
      <w:r>
        <w:rPr>
          <w:rFonts w:hint="eastAsia" w:ascii="宋体" w:hAnsi="宋体"/>
          <w:highlight w:val="none"/>
          <w:lang w:val="en-US" w:eastAsia="zh-CN"/>
        </w:rPr>
        <w:t>3</w:t>
      </w:r>
      <w:r>
        <w:rPr>
          <w:rFonts w:hint="eastAsia" w:ascii="宋体" w:hAnsi="宋体"/>
          <w:highlight w:val="none"/>
        </w:rPr>
        <w:t>）付款方式（按项目实际勾选填写）：</w:t>
      </w:r>
    </w:p>
    <w:p w14:paraId="5C1C5AD6">
      <w:pPr>
        <w:adjustRightInd w:val="0"/>
        <w:snapToGrid w:val="0"/>
        <w:spacing w:before="0" w:beforeLines="0" w:line="400" w:lineRule="exact"/>
        <w:ind w:firstLine="600" w:firstLineChars="300"/>
        <w:rPr>
          <w:rFonts w:ascii="宋体" w:hAnsi="宋体"/>
          <w:szCs w:val="21"/>
          <w:highlight w:val="none"/>
          <w:u w:val="single"/>
        </w:rPr>
      </w:pPr>
      <w:r>
        <w:rPr>
          <w:rFonts w:hint="eastAsia" w:ascii="宋体" w:hAnsi="宋体"/>
          <w:szCs w:val="21"/>
          <w:highlight w:val="none"/>
        </w:rPr>
        <w:sym w:font="Wingdings" w:char="00A8"/>
      </w:r>
      <w:r>
        <w:rPr>
          <w:rFonts w:hint="eastAsia" w:ascii="宋体" w:hAnsi="宋体"/>
          <w:szCs w:val="21"/>
          <w:highlight w:val="none"/>
        </w:rPr>
        <w:t>全额付款：</w:t>
      </w:r>
      <w:r>
        <w:rPr>
          <w:rFonts w:hint="eastAsia" w:ascii="宋体" w:hAnsi="宋体"/>
          <w:szCs w:val="21"/>
          <w:highlight w:val="none"/>
          <w:u w:val="single"/>
        </w:rPr>
        <w:t xml:space="preserve">     （应</w:t>
      </w:r>
      <w:r>
        <w:rPr>
          <w:rFonts w:hint="eastAsia" w:ascii="宋体" w:hAnsi="宋体"/>
          <w:szCs w:val="21"/>
          <w:highlight w:val="none"/>
          <w:u w:val="single"/>
          <w:lang w:eastAsia="zh-CN"/>
        </w:rPr>
        <w:t>明确</w:t>
      </w:r>
      <w:r>
        <w:rPr>
          <w:rFonts w:hint="eastAsia" w:ascii="宋体" w:hAnsi="宋体"/>
          <w:szCs w:val="21"/>
          <w:highlight w:val="none"/>
          <w:u w:val="single"/>
        </w:rPr>
        <w:t>一次性支付合同款项</w:t>
      </w:r>
      <w:r>
        <w:rPr>
          <w:rFonts w:hint="eastAsia" w:ascii="宋体" w:hAnsi="宋体"/>
          <w:szCs w:val="21"/>
          <w:highlight w:val="none"/>
          <w:u w:val="single"/>
          <w:lang w:eastAsia="zh-CN"/>
        </w:rPr>
        <w:t>的条件</w:t>
      </w:r>
      <w:r>
        <w:rPr>
          <w:rFonts w:hint="eastAsia" w:ascii="宋体" w:hAnsi="宋体"/>
          <w:szCs w:val="21"/>
          <w:highlight w:val="none"/>
          <w:u w:val="single"/>
        </w:rPr>
        <w:t>）</w:t>
      </w:r>
    </w:p>
    <w:p w14:paraId="69237247">
      <w:pPr>
        <w:snapToGrid w:val="0"/>
        <w:spacing w:beforeLines="0" w:line="400" w:lineRule="exact"/>
        <w:ind w:firstLine="600" w:firstLineChars="300"/>
        <w:rPr>
          <w:highlight w:val="none"/>
        </w:rPr>
      </w:pPr>
      <w:r>
        <w:rPr>
          <w:rFonts w:hint="eastAsia" w:ascii="宋体" w:hAnsi="宋体"/>
          <w:szCs w:val="21"/>
          <w:highlight w:val="none"/>
        </w:rPr>
        <w:sym w:font="Wingdings" w:char="00A8"/>
      </w:r>
      <w:r>
        <w:rPr>
          <w:rFonts w:hint="eastAsia" w:ascii="宋体" w:hAnsi="宋体"/>
          <w:szCs w:val="21"/>
          <w:highlight w:val="none"/>
        </w:rPr>
        <w:t>分期付款：</w:t>
      </w:r>
      <w:r>
        <w:rPr>
          <w:rFonts w:hint="eastAsia" w:ascii="宋体" w:hAnsi="宋体"/>
          <w:szCs w:val="21"/>
          <w:highlight w:val="none"/>
          <w:u w:val="single"/>
        </w:rPr>
        <w:t xml:space="preserve">  （应明确分期支付合同款项的各期比例和支付条件</w:t>
      </w:r>
      <w:r>
        <w:rPr>
          <w:rFonts w:hint="eastAsia" w:ascii="宋体" w:hAnsi="宋体"/>
          <w:szCs w:val="21"/>
          <w:highlight w:val="none"/>
          <w:u w:val="single"/>
          <w:lang w:eastAsia="zh-CN"/>
        </w:rPr>
        <w:t>，各期支付条件应与分期履约验收情况挂钩</w:t>
      </w:r>
      <w:r>
        <w:rPr>
          <w:rFonts w:hint="eastAsia" w:ascii="宋体" w:hAnsi="宋体"/>
          <w:szCs w:val="21"/>
          <w:highlight w:val="none"/>
          <w:u w:val="single"/>
        </w:rPr>
        <w:t xml:space="preserve">） </w:t>
      </w:r>
      <w:r>
        <w:rPr>
          <w:rFonts w:hint="eastAsia" w:ascii="宋体" w:hAnsi="宋体"/>
          <w:szCs w:val="21"/>
          <w:highlight w:val="none"/>
          <w:u w:val="none"/>
          <w:lang w:eastAsia="zh-CN"/>
        </w:rPr>
        <w:t>，</w:t>
      </w:r>
      <w:r>
        <w:rPr>
          <w:rFonts w:hint="eastAsia" w:ascii="宋体" w:hAnsi="宋体"/>
          <w:szCs w:val="21"/>
          <w:highlight w:val="none"/>
          <w:lang w:eastAsia="zh-CN"/>
        </w:rPr>
        <w:t>其中涉及预付款的</w:t>
      </w:r>
      <w:r>
        <w:rPr>
          <w:rFonts w:hint="eastAsia" w:ascii="宋体" w:hAnsi="宋体"/>
          <w:szCs w:val="21"/>
          <w:highlight w:val="none"/>
        </w:rPr>
        <w:t>：</w:t>
      </w:r>
      <w:r>
        <w:rPr>
          <w:rFonts w:hint="eastAsia" w:ascii="宋体" w:hAnsi="宋体"/>
          <w:szCs w:val="21"/>
          <w:highlight w:val="none"/>
          <w:u w:val="single"/>
        </w:rPr>
        <w:t xml:space="preserve"> （应明确预付款的支付比例和支付条件）</w:t>
      </w:r>
    </w:p>
    <w:p w14:paraId="62371ABB">
      <w:pPr>
        <w:adjustRightInd w:val="0"/>
        <w:snapToGrid w:val="0"/>
        <w:spacing w:before="0" w:beforeLines="0" w:line="400" w:lineRule="exact"/>
        <w:ind w:firstLine="600" w:firstLineChars="300"/>
        <w:rPr>
          <w:rFonts w:hint="eastAsia" w:ascii="宋体" w:hAnsi="宋体"/>
          <w:szCs w:val="21"/>
          <w:highlight w:val="none"/>
          <w:u w:val="single"/>
        </w:rPr>
      </w:pPr>
      <w:r>
        <w:rPr>
          <w:rFonts w:hint="eastAsia" w:ascii="宋体" w:hAnsi="宋体"/>
          <w:szCs w:val="21"/>
          <w:highlight w:val="none"/>
        </w:rPr>
        <w:sym w:font="Wingdings" w:char="00A8"/>
      </w:r>
      <w:r>
        <w:rPr>
          <w:rFonts w:hint="eastAsia" w:ascii="宋体" w:hAnsi="宋体"/>
          <w:szCs w:val="21"/>
          <w:highlight w:val="none"/>
        </w:rPr>
        <w:t>成本补偿：</w:t>
      </w:r>
      <w:r>
        <w:rPr>
          <w:rFonts w:hint="eastAsia" w:ascii="宋体" w:hAnsi="宋体"/>
          <w:szCs w:val="21"/>
          <w:highlight w:val="none"/>
          <w:u w:val="single"/>
        </w:rPr>
        <w:t xml:space="preserve">      （应明确按照成本补偿方式的支付方式和支付条件）</w:t>
      </w:r>
    </w:p>
    <w:p w14:paraId="1ED54248">
      <w:pPr>
        <w:adjustRightInd w:val="0"/>
        <w:snapToGrid w:val="0"/>
        <w:spacing w:before="0" w:beforeLines="0" w:line="400" w:lineRule="exact"/>
        <w:ind w:firstLine="600" w:firstLineChars="300"/>
        <w:rPr>
          <w:rFonts w:ascii="宋体" w:hAnsi="宋体"/>
          <w:szCs w:val="21"/>
          <w:highlight w:val="none"/>
        </w:rPr>
      </w:pPr>
      <w:r>
        <w:rPr>
          <w:rFonts w:hint="eastAsia" w:ascii="宋体" w:hAnsi="宋体"/>
          <w:szCs w:val="21"/>
          <w:highlight w:val="none"/>
        </w:rPr>
        <w:sym w:font="Wingdings" w:char="00A8"/>
      </w:r>
      <w:r>
        <w:rPr>
          <w:rFonts w:hint="eastAsia" w:ascii="宋体" w:hAnsi="宋体"/>
          <w:szCs w:val="21"/>
          <w:highlight w:val="none"/>
        </w:rPr>
        <w:t>绩效激励：</w:t>
      </w:r>
      <w:r>
        <w:rPr>
          <w:rFonts w:hint="eastAsia" w:ascii="宋体" w:hAnsi="宋体"/>
          <w:szCs w:val="21"/>
          <w:highlight w:val="none"/>
          <w:u w:val="single"/>
        </w:rPr>
        <w:t xml:space="preserve">      （应明确按照绩效激励方式的支付方式和支付条件）</w:t>
      </w:r>
    </w:p>
    <w:p w14:paraId="25F19D16">
      <w:pPr>
        <w:numPr>
          <w:ilvl w:val="0"/>
          <w:numId w:val="2"/>
        </w:numPr>
        <w:adjustRightInd w:val="0"/>
        <w:snapToGrid w:val="0"/>
        <w:spacing w:before="0" w:beforeLines="0" w:line="400" w:lineRule="exact"/>
        <w:ind w:firstLine="402" w:firstLineChars="200"/>
        <w:rPr>
          <w:rFonts w:ascii="宋体" w:hAnsi="宋体"/>
          <w:b/>
          <w:bCs w:val="0"/>
          <w:szCs w:val="21"/>
          <w:highlight w:val="none"/>
          <w:u w:val="single"/>
        </w:rPr>
      </w:pPr>
      <w:r>
        <w:rPr>
          <w:rFonts w:hint="eastAsia" w:ascii="宋体" w:hAnsi="宋体"/>
          <w:b/>
          <w:bCs w:val="0"/>
          <w:szCs w:val="21"/>
          <w:highlight w:val="none"/>
        </w:rPr>
        <w:t>合同履行</w:t>
      </w:r>
    </w:p>
    <w:p w14:paraId="4A426E35">
      <w:pPr>
        <w:adjustRightInd w:val="0"/>
        <w:snapToGrid w:val="0"/>
        <w:spacing w:before="0" w:beforeLines="0" w:line="400" w:lineRule="exact"/>
        <w:ind w:firstLine="400" w:firstLineChars="200"/>
        <w:rPr>
          <w:rFonts w:hint="eastAsia" w:ascii="宋体" w:hAnsi="宋体" w:cs="宋体"/>
          <w:szCs w:val="21"/>
          <w:highlight w:val="none"/>
        </w:rPr>
      </w:pPr>
      <w:r>
        <w:rPr>
          <w:rFonts w:hint="eastAsia" w:ascii="宋体" w:hAnsi="宋体" w:cs="宋体"/>
          <w:szCs w:val="21"/>
          <w:highlight w:val="none"/>
        </w:rPr>
        <w:t>（1）起始日期：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日，完成日期：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39D1ED1C">
      <w:pPr>
        <w:adjustRightInd w:val="0"/>
        <w:snapToGrid w:val="0"/>
        <w:spacing w:before="0" w:beforeLines="0" w:line="400" w:lineRule="exact"/>
        <w:ind w:firstLine="400" w:firstLineChars="200"/>
        <w:rPr>
          <w:rFonts w:hint="eastAsia" w:ascii="宋体" w:hAnsi="宋体" w:cs="宋体"/>
          <w:szCs w:val="21"/>
          <w:highlight w:val="none"/>
          <w:u w:val="single"/>
        </w:rPr>
      </w:pPr>
      <w:r>
        <w:rPr>
          <w:rFonts w:hint="eastAsia" w:ascii="宋体" w:hAnsi="宋体" w:cs="宋体"/>
          <w:szCs w:val="21"/>
          <w:highlight w:val="none"/>
        </w:rPr>
        <w:t>（2）</w:t>
      </w:r>
      <w:r>
        <w:rPr>
          <w:rFonts w:hint="eastAsia" w:ascii="宋体" w:hAnsi="宋体" w:cs="宋体"/>
          <w:szCs w:val="21"/>
          <w:highlight w:val="none"/>
          <w:lang w:eastAsia="zh-CN"/>
        </w:rPr>
        <w:t>履约</w:t>
      </w:r>
      <w:r>
        <w:rPr>
          <w:rFonts w:hint="eastAsia" w:ascii="宋体" w:hAnsi="宋体" w:cs="宋体"/>
          <w:szCs w:val="21"/>
          <w:highlight w:val="none"/>
        </w:rPr>
        <w:t>地点</w:t>
      </w:r>
      <w:r>
        <w:rPr>
          <w:rFonts w:hint="eastAsia" w:ascii="宋体" w:hAnsi="宋体" w:cs="宋体"/>
          <w:b w:val="0"/>
          <w:bCs/>
          <w:szCs w:val="21"/>
          <w:highlight w:val="none"/>
        </w:rPr>
        <w:t>：</w:t>
      </w:r>
      <w:r>
        <w:rPr>
          <w:rFonts w:hint="eastAsia" w:ascii="宋体" w:hAnsi="宋体" w:cs="宋体"/>
          <w:szCs w:val="21"/>
          <w:highlight w:val="none"/>
          <w:u w:val="single"/>
        </w:rPr>
        <w:t xml:space="preserve">                             </w:t>
      </w:r>
    </w:p>
    <w:p w14:paraId="352480D9">
      <w:pPr>
        <w:adjustRightInd w:val="0"/>
        <w:snapToGrid w:val="0"/>
        <w:spacing w:before="0" w:beforeLines="0" w:line="400" w:lineRule="exact"/>
        <w:ind w:firstLine="400" w:firstLineChars="200"/>
        <w:rPr>
          <w:rFonts w:hint="eastAsia" w:ascii="宋体" w:hAnsi="宋体" w:eastAsia="宋体" w:cs="宋体"/>
          <w:sz w:val="21"/>
          <w:szCs w:val="21"/>
          <w:highlight w:val="none"/>
          <w:lang w:eastAsia="zh-CN"/>
        </w:rPr>
      </w:pPr>
      <w:r>
        <w:rPr>
          <w:rFonts w:hint="eastAsia" w:ascii="宋体" w:hAnsi="宋体" w:cs="宋体"/>
          <w:bCs/>
          <w:szCs w:val="21"/>
          <w:highlight w:val="none"/>
        </w:rPr>
        <w:t>（3）履约担保：</w:t>
      </w:r>
      <w:r>
        <w:rPr>
          <w:rFonts w:hint="eastAsia" w:ascii="宋体" w:hAnsi="宋体" w:eastAsia="宋体" w:cs="宋体"/>
          <w:sz w:val="21"/>
          <w:highlight w:val="none"/>
          <w:lang w:val="en-US" w:eastAsia="zh-CN"/>
        </w:rPr>
        <w:t>是否收取履约保证金：</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是</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否</w:t>
      </w:r>
    </w:p>
    <w:p w14:paraId="2F7F54B5">
      <w:pPr>
        <w:pStyle w:val="148"/>
        <w:spacing w:beforeLines="0"/>
        <w:rPr>
          <w:rFonts w:hint="eastAsia" w:ascii="宋体" w:hAnsi="宋体" w:eastAsia="宋体" w:cs="宋体"/>
          <w:sz w:val="21"/>
          <w:highlight w:val="none"/>
          <w:lang w:val="en-US" w:eastAsia="zh-CN"/>
        </w:rPr>
      </w:pPr>
      <w:r>
        <w:rPr>
          <w:rFonts w:hint="eastAsia" w:ascii="宋体" w:hAnsi="宋体" w:cs="宋体"/>
          <w:bCs/>
          <w:szCs w:val="21"/>
          <w:highlight w:val="none"/>
          <w:u w:val="none"/>
          <w:lang w:val="en-US" w:eastAsia="zh-CN"/>
        </w:rPr>
        <w:t xml:space="preserve">  </w:t>
      </w:r>
      <w:r>
        <w:rPr>
          <w:rFonts w:hint="eastAsia" w:ascii="宋体" w:hAnsi="宋体" w:eastAsia="宋体" w:cs="宋体"/>
          <w:sz w:val="21"/>
          <w:highlight w:val="none"/>
          <w:lang w:val="en-US" w:eastAsia="zh-CN"/>
        </w:rPr>
        <w:t xml:space="preserve">  收取履约保证金形式：</w:t>
      </w:r>
    </w:p>
    <w:p w14:paraId="05BD1234">
      <w:pPr>
        <w:pStyle w:val="148"/>
        <w:spacing w:beforeLines="0"/>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 xml:space="preserve">    收取履约保证金金额：</w:t>
      </w:r>
    </w:p>
    <w:p w14:paraId="19174F2E">
      <w:pPr>
        <w:snapToGrid w:val="0"/>
        <w:spacing w:beforeLines="0" w:line="400" w:lineRule="exact"/>
        <w:ind w:firstLine="400" w:firstLineChars="200"/>
        <w:rPr>
          <w:rFonts w:hint="eastAsia" w:ascii="宋体" w:hAnsi="宋体" w:eastAsia="宋体" w:cs="宋体"/>
          <w:sz w:val="21"/>
          <w:highlight w:val="none"/>
          <w:lang w:val="en-US" w:eastAsia="zh-CN"/>
        </w:rPr>
      </w:pPr>
      <w:r>
        <w:rPr>
          <w:rFonts w:hint="eastAsia" w:ascii="宋体" w:hAnsi="宋体" w:cs="宋体"/>
          <w:bCs/>
          <w:szCs w:val="21"/>
          <w:highlight w:val="none"/>
          <w:u w:val="none"/>
          <w:lang w:val="en-US" w:eastAsia="zh-CN"/>
        </w:rPr>
        <w:t xml:space="preserve">    履约担保期限</w:t>
      </w:r>
      <w:r>
        <w:rPr>
          <w:rFonts w:hint="eastAsia" w:ascii="宋体" w:hAnsi="宋体" w:cs="宋体"/>
          <w:bCs/>
          <w:szCs w:val="21"/>
          <w:highlight w:val="none"/>
          <w:u w:val="none"/>
          <w:lang w:eastAsia="zh-CN"/>
        </w:rPr>
        <w:t>：</w:t>
      </w:r>
    </w:p>
    <w:p w14:paraId="666DFE4A">
      <w:pPr>
        <w:adjustRightInd w:val="0"/>
        <w:snapToGrid w:val="0"/>
        <w:spacing w:before="0" w:beforeLines="0" w:line="400" w:lineRule="exact"/>
        <w:ind w:firstLine="400" w:firstLineChars="200"/>
        <w:rPr>
          <w:rFonts w:hint="eastAsia" w:ascii="宋体" w:hAnsi="宋体" w:cs="宋体"/>
          <w:bCs/>
          <w:szCs w:val="21"/>
          <w:highlight w:val="none"/>
        </w:rPr>
      </w:pPr>
      <w:r>
        <w:rPr>
          <w:rFonts w:hint="eastAsia" w:ascii="宋体" w:hAnsi="宋体" w:cs="宋体"/>
          <w:bCs/>
          <w:szCs w:val="21"/>
          <w:highlight w:val="none"/>
        </w:rPr>
        <w:t>（4）分期履行要求：</w:t>
      </w:r>
    </w:p>
    <w:p w14:paraId="6B8FB8CC">
      <w:pPr>
        <w:adjustRightInd w:val="0"/>
        <w:snapToGrid w:val="0"/>
        <w:spacing w:before="0" w:beforeLines="0" w:line="400" w:lineRule="exact"/>
        <w:ind w:firstLine="400" w:firstLineChars="200"/>
        <w:rPr>
          <w:rFonts w:hint="eastAsia" w:ascii="宋体" w:hAnsi="宋体" w:cs="宋体"/>
          <w:szCs w:val="21"/>
          <w:highlight w:val="none"/>
          <w:u w:val="single"/>
        </w:rPr>
      </w:pPr>
      <w:r>
        <w:rPr>
          <w:rFonts w:hint="eastAsia" w:ascii="宋体" w:hAnsi="宋体" w:cs="宋体"/>
          <w:bCs/>
          <w:szCs w:val="21"/>
          <w:highlight w:val="none"/>
        </w:rPr>
        <w:t>（5）</w:t>
      </w:r>
      <w:r>
        <w:rPr>
          <w:rFonts w:hint="eastAsia" w:ascii="宋体" w:hAnsi="宋体" w:cs="宋体"/>
          <w:bCs/>
          <w:szCs w:val="21"/>
          <w:highlight w:val="none"/>
          <w:lang w:eastAsia="zh-CN"/>
        </w:rPr>
        <w:t>风险处置措施和替代方案</w:t>
      </w:r>
      <w:r>
        <w:rPr>
          <w:rFonts w:hint="eastAsia" w:ascii="宋体" w:hAnsi="宋体" w:cs="宋体"/>
          <w:bCs/>
          <w:szCs w:val="21"/>
          <w:highlight w:val="none"/>
        </w:rPr>
        <w:t>：</w:t>
      </w:r>
    </w:p>
    <w:p w14:paraId="50A70929">
      <w:pPr>
        <w:numPr>
          <w:ilvl w:val="0"/>
          <w:numId w:val="2"/>
        </w:numPr>
        <w:adjustRightInd w:val="0"/>
        <w:snapToGrid w:val="0"/>
        <w:spacing w:before="0" w:beforeLines="0" w:line="400" w:lineRule="exact"/>
        <w:ind w:firstLine="402" w:firstLineChars="200"/>
        <w:rPr>
          <w:rFonts w:ascii="宋体" w:hAnsi="宋体"/>
          <w:b/>
          <w:szCs w:val="21"/>
          <w:highlight w:val="none"/>
        </w:rPr>
      </w:pPr>
      <w:r>
        <w:rPr>
          <w:rFonts w:hint="eastAsia" w:ascii="宋体" w:hAnsi="宋体"/>
          <w:b/>
          <w:szCs w:val="21"/>
          <w:highlight w:val="none"/>
        </w:rPr>
        <w:t>合同验收</w:t>
      </w:r>
    </w:p>
    <w:p w14:paraId="30A451E9">
      <w:pPr>
        <w:numPr>
          <w:ilvl w:val="0"/>
          <w:numId w:val="4"/>
        </w:numPr>
        <w:adjustRightInd w:val="0"/>
        <w:snapToGrid w:val="0"/>
        <w:spacing w:before="0" w:beforeLines="0" w:line="400" w:lineRule="exact"/>
        <w:ind w:firstLine="400" w:firstLineChars="200"/>
        <w:rPr>
          <w:rFonts w:hint="eastAsia" w:ascii="宋体" w:hAnsi="宋体"/>
          <w:bCs/>
          <w:szCs w:val="21"/>
          <w:highlight w:val="none"/>
        </w:rPr>
      </w:pPr>
      <w:r>
        <w:rPr>
          <w:rFonts w:hint="eastAsia" w:ascii="宋体" w:hAnsi="宋体"/>
          <w:bCs/>
          <w:szCs w:val="21"/>
          <w:highlight w:val="none"/>
        </w:rPr>
        <w:t>验收组织方式：</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自行组织 </w:t>
      </w:r>
      <w:r>
        <w:rPr>
          <w:rFonts w:hint="eastAsia" w:ascii="宋体" w:hAnsi="宋体" w:eastAsia="宋体" w:cs="宋体"/>
          <w:sz w:val="21"/>
          <w:szCs w:val="21"/>
          <w:highlight w:val="none"/>
        </w:rPr>
        <w:sym w:font="Wingdings" w:char="00A8"/>
      </w:r>
      <w:r>
        <w:rPr>
          <w:rFonts w:hint="eastAsia" w:ascii="宋体" w:hAnsi="宋体"/>
          <w:bCs/>
          <w:szCs w:val="21"/>
          <w:highlight w:val="none"/>
        </w:rPr>
        <w:t>委托第三方组织</w:t>
      </w:r>
    </w:p>
    <w:p w14:paraId="089E6E65">
      <w:pPr>
        <w:numPr>
          <w:ilvl w:val="0"/>
          <w:numId w:val="0"/>
        </w:numPr>
        <w:adjustRightInd w:val="0"/>
        <w:snapToGrid w:val="0"/>
        <w:spacing w:before="0" w:beforeLines="0" w:line="400" w:lineRule="exact"/>
        <w:rPr>
          <w:rFonts w:ascii="宋体" w:hAnsi="宋体"/>
          <w:bCs/>
          <w:szCs w:val="21"/>
          <w:highlight w:val="none"/>
        </w:rPr>
      </w:pPr>
      <w:r>
        <w:rPr>
          <w:rFonts w:hint="eastAsia" w:ascii="宋体" w:hAnsi="宋体"/>
          <w:bCs/>
          <w:szCs w:val="21"/>
          <w:highlight w:val="none"/>
          <w:lang w:val="en-US" w:eastAsia="zh-CN"/>
        </w:rPr>
        <w:t xml:space="preserve">         </w:t>
      </w:r>
      <w:r>
        <w:rPr>
          <w:rFonts w:hint="eastAsia" w:ascii="宋体" w:hAnsi="宋体"/>
          <w:bCs/>
          <w:szCs w:val="21"/>
          <w:highlight w:val="none"/>
        </w:rPr>
        <w:t>验收主体：</w:t>
      </w:r>
      <w:r>
        <w:rPr>
          <w:rFonts w:hint="eastAsia" w:ascii="宋体" w:hAnsi="宋体"/>
          <w:bCs/>
          <w:szCs w:val="21"/>
          <w:highlight w:val="none"/>
          <w:u w:val="single"/>
        </w:rPr>
        <w:t xml:space="preserve">                  </w:t>
      </w:r>
    </w:p>
    <w:p w14:paraId="1E410541">
      <w:pPr>
        <w:adjustRightInd w:val="0"/>
        <w:snapToGrid w:val="0"/>
        <w:spacing w:before="0" w:beforeLines="0" w:line="400" w:lineRule="exact"/>
        <w:ind w:firstLine="0" w:firstLineChars="0"/>
        <w:rPr>
          <w:rFonts w:ascii="宋体" w:hAnsi="宋体"/>
          <w:bCs/>
          <w:szCs w:val="21"/>
          <w:highlight w:val="none"/>
        </w:rPr>
      </w:pPr>
      <w:r>
        <w:rPr>
          <w:rFonts w:hint="eastAsia" w:ascii="宋体" w:hAnsi="宋体"/>
          <w:bCs/>
          <w:szCs w:val="21"/>
          <w:highlight w:val="none"/>
          <w:lang w:val="en-US" w:eastAsia="zh-CN"/>
        </w:rPr>
        <w:t xml:space="preserve">        </w:t>
      </w:r>
      <w:r>
        <w:rPr>
          <w:rFonts w:hint="eastAsia" w:ascii="宋体" w:hAnsi="宋体"/>
          <w:bCs/>
          <w:szCs w:val="21"/>
          <w:highlight w:val="none"/>
        </w:rPr>
        <w:t>是否邀请本项目的其他供应商</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03BAC069">
      <w:pPr>
        <w:adjustRightInd w:val="0"/>
        <w:snapToGrid w:val="0"/>
        <w:spacing w:before="0" w:beforeLines="0" w:line="400" w:lineRule="exact"/>
        <w:ind w:firstLine="800" w:firstLineChars="400"/>
        <w:rPr>
          <w:rFonts w:ascii="宋体" w:hAnsi="宋体"/>
          <w:bCs/>
          <w:szCs w:val="21"/>
          <w:highlight w:val="none"/>
        </w:rPr>
      </w:pPr>
      <w:r>
        <w:rPr>
          <w:rFonts w:hint="eastAsia" w:ascii="宋体" w:hAnsi="宋体"/>
          <w:bCs/>
          <w:szCs w:val="21"/>
          <w:highlight w:val="none"/>
        </w:rPr>
        <w:t>是否邀请专家</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05D80A29">
      <w:pPr>
        <w:adjustRightInd w:val="0"/>
        <w:snapToGrid w:val="0"/>
        <w:spacing w:before="0" w:beforeLines="0" w:line="400" w:lineRule="exact"/>
        <w:ind w:firstLine="800" w:firstLineChars="400"/>
        <w:rPr>
          <w:rFonts w:ascii="宋体" w:hAnsi="宋体"/>
          <w:bCs/>
          <w:szCs w:val="21"/>
          <w:highlight w:val="none"/>
        </w:rPr>
      </w:pPr>
      <w:r>
        <w:rPr>
          <w:rFonts w:hint="eastAsia" w:ascii="宋体" w:hAnsi="宋体"/>
          <w:bCs/>
          <w:szCs w:val="21"/>
          <w:highlight w:val="none"/>
        </w:rPr>
        <w:t>是否邀请服务对象</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668E67F5">
      <w:pPr>
        <w:adjustRightInd w:val="0"/>
        <w:snapToGrid w:val="0"/>
        <w:spacing w:before="0" w:beforeLines="0" w:line="400" w:lineRule="exact"/>
        <w:ind w:firstLine="800" w:firstLineChars="400"/>
        <w:rPr>
          <w:rFonts w:ascii="宋体" w:hAnsi="宋体"/>
          <w:bCs/>
          <w:szCs w:val="21"/>
          <w:highlight w:val="none"/>
        </w:rPr>
      </w:pPr>
      <w:r>
        <w:rPr>
          <w:rFonts w:hint="eastAsia" w:ascii="宋体" w:hAnsi="宋体"/>
          <w:bCs/>
          <w:szCs w:val="21"/>
          <w:highlight w:val="none"/>
        </w:rPr>
        <w:t>是否邀请第三方检测机构</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1B40534D">
      <w:pPr>
        <w:adjustRightInd w:val="0"/>
        <w:snapToGrid w:val="0"/>
        <w:spacing w:before="0" w:beforeLines="0" w:line="400" w:lineRule="exact"/>
        <w:ind w:firstLine="800" w:firstLineChars="400"/>
        <w:rPr>
          <w:rFonts w:hint="eastAsia" w:ascii="宋体" w:hAnsi="宋体"/>
          <w:bCs/>
          <w:szCs w:val="21"/>
          <w:highlight w:val="none"/>
        </w:rPr>
      </w:pPr>
      <w:r>
        <w:rPr>
          <w:rFonts w:hint="eastAsia" w:ascii="宋体" w:hAnsi="宋体"/>
          <w:bCs/>
          <w:szCs w:val="21"/>
          <w:highlight w:val="none"/>
          <w:lang w:eastAsia="zh-CN"/>
        </w:rPr>
        <w:t>是否进行抽查检测：</w:t>
      </w:r>
      <w:r>
        <w:rPr>
          <w:rFonts w:hint="eastAsia" w:ascii="宋体" w:hAnsi="宋体" w:eastAsia="宋体" w:cs="宋体"/>
          <w:sz w:val="21"/>
          <w:szCs w:val="21"/>
          <w:highlight w:val="none"/>
        </w:rPr>
        <w:sym w:font="Wingdings" w:char="00A8"/>
      </w:r>
      <w:r>
        <w:rPr>
          <w:rFonts w:hint="eastAsia" w:ascii="宋体" w:hAnsi="宋体"/>
          <w:bCs/>
          <w:szCs w:val="21"/>
          <w:highlight w:val="none"/>
        </w:rPr>
        <w:t>是</w:t>
      </w:r>
      <w:r>
        <w:rPr>
          <w:rFonts w:hint="eastAsia" w:ascii="宋体" w:hAnsi="宋体"/>
          <w:bCs/>
          <w:szCs w:val="21"/>
          <w:highlight w:val="none"/>
          <w:lang w:eastAsia="zh-CN"/>
        </w:rPr>
        <w:t>，抽查比例：</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r>
        <w:rPr>
          <w:rFonts w:hint="eastAsia" w:ascii="宋体" w:hAnsi="宋体"/>
          <w:bCs/>
          <w:szCs w:val="21"/>
          <w:highlight w:val="none"/>
        </w:rPr>
        <w:t xml:space="preserve"> </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5B4AF0ED">
      <w:pPr>
        <w:adjustRightInd w:val="0"/>
        <w:snapToGrid w:val="0"/>
        <w:spacing w:before="0" w:beforeLines="0" w:line="400" w:lineRule="exact"/>
        <w:ind w:firstLine="800" w:firstLineChars="400"/>
        <w:rPr>
          <w:rFonts w:hint="eastAsia" w:ascii="宋体" w:hAnsi="宋体" w:eastAsia="宋体"/>
          <w:bCs/>
          <w:szCs w:val="21"/>
          <w:highlight w:val="none"/>
          <w:u w:val="single"/>
          <w:lang w:eastAsia="zh-CN"/>
        </w:rPr>
      </w:pPr>
      <w:r>
        <w:rPr>
          <w:rFonts w:hint="eastAsia" w:ascii="宋体" w:hAnsi="宋体" w:eastAsia="宋体"/>
          <w:bCs/>
          <w:szCs w:val="21"/>
          <w:highlight w:val="none"/>
          <w:lang w:val="en-US" w:eastAsia="zh-CN"/>
        </w:rPr>
        <w:t>是否存在破坏性检测：</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是</w:t>
      </w:r>
      <w:r>
        <w:rPr>
          <w:rFonts w:hint="eastAsia" w:ascii="宋体" w:hAnsi="宋体" w:eastAsia="宋体"/>
          <w:bCs/>
          <w:szCs w:val="21"/>
          <w:highlight w:val="none"/>
          <w:lang w:eastAsia="zh-CN"/>
        </w:rPr>
        <w:t>，</w:t>
      </w:r>
      <w:r>
        <w:rPr>
          <w:rFonts w:hint="eastAsia" w:ascii="宋体" w:hAnsi="宋体" w:eastAsia="宋体"/>
          <w:bCs/>
          <w:szCs w:val="21"/>
          <w:highlight w:val="none"/>
          <w:u w:val="single"/>
          <w:lang w:eastAsia="zh-CN"/>
        </w:rPr>
        <w:t>（应明确对被破坏的检测产品的处理方式）</w:t>
      </w:r>
    </w:p>
    <w:p w14:paraId="51098845">
      <w:pPr>
        <w:adjustRightInd w:val="0"/>
        <w:snapToGrid w:val="0"/>
        <w:spacing w:before="0" w:beforeLines="0" w:line="400" w:lineRule="exact"/>
        <w:ind w:firstLine="800" w:firstLineChars="400"/>
        <w:rPr>
          <w:rFonts w:hint="eastAsia" w:ascii="宋体" w:hAnsi="宋体" w:eastAsia="宋体"/>
          <w:bCs/>
          <w:szCs w:val="21"/>
          <w:highlight w:val="none"/>
          <w:lang w:eastAsia="zh-CN"/>
        </w:rPr>
      </w:pPr>
      <w:r>
        <w:rPr>
          <w:rFonts w:hint="eastAsia" w:ascii="宋体" w:hAnsi="宋体" w:eastAsia="宋体"/>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否</w:t>
      </w:r>
    </w:p>
    <w:p w14:paraId="79634591">
      <w:pPr>
        <w:adjustRightInd w:val="0"/>
        <w:snapToGrid w:val="0"/>
        <w:spacing w:before="0" w:beforeLines="0" w:line="400" w:lineRule="exact"/>
        <w:ind w:firstLine="800" w:firstLineChars="400"/>
        <w:rPr>
          <w:rFonts w:hint="eastAsia" w:ascii="宋体" w:hAnsi="宋体"/>
          <w:bCs/>
          <w:szCs w:val="21"/>
          <w:highlight w:val="none"/>
          <w:u w:val="single"/>
        </w:rPr>
      </w:pPr>
      <w:r>
        <w:rPr>
          <w:rFonts w:hint="eastAsia" w:ascii="宋体" w:hAnsi="宋体"/>
          <w:bCs/>
          <w:szCs w:val="21"/>
          <w:highlight w:val="none"/>
        </w:rPr>
        <w:t>验收组织的其他事项：</w:t>
      </w:r>
      <w:r>
        <w:rPr>
          <w:rFonts w:hint="eastAsia" w:ascii="宋体" w:hAnsi="宋体"/>
          <w:bCs/>
          <w:szCs w:val="21"/>
          <w:highlight w:val="none"/>
          <w:u w:val="single"/>
        </w:rPr>
        <w:t xml:space="preserve">                </w:t>
      </w:r>
    </w:p>
    <w:p w14:paraId="22E12905">
      <w:pPr>
        <w:adjustRightInd w:val="0"/>
        <w:snapToGrid w:val="0"/>
        <w:spacing w:before="0" w:beforeLines="0" w:line="400" w:lineRule="exact"/>
        <w:ind w:firstLine="400" w:firstLineChars="200"/>
        <w:rPr>
          <w:rFonts w:hint="eastAsia" w:ascii="宋体" w:hAnsi="宋体"/>
          <w:bCs/>
          <w:szCs w:val="21"/>
          <w:highlight w:val="none"/>
          <w:u w:val="single"/>
        </w:rPr>
      </w:pPr>
      <w:r>
        <w:rPr>
          <w:rFonts w:hint="eastAsia" w:ascii="宋体" w:hAnsi="宋体"/>
          <w:bCs/>
          <w:szCs w:val="21"/>
          <w:highlight w:val="none"/>
        </w:rPr>
        <w:t>（2）履约验收时间：</w:t>
      </w:r>
      <w:r>
        <w:rPr>
          <w:rFonts w:hint="eastAsia" w:ascii="宋体" w:hAnsi="宋体"/>
          <w:bCs/>
          <w:szCs w:val="21"/>
          <w:highlight w:val="none"/>
          <w:u w:val="single"/>
        </w:rPr>
        <w:t>（计划于何时验收/供应商提出验收申请之日起   日内组织验收）</w:t>
      </w:r>
    </w:p>
    <w:p w14:paraId="6960E3D8">
      <w:pPr>
        <w:adjustRightInd w:val="0"/>
        <w:snapToGrid w:val="0"/>
        <w:spacing w:before="0" w:beforeLines="0" w:line="400" w:lineRule="exact"/>
        <w:ind w:firstLine="400" w:firstLineChars="200"/>
        <w:rPr>
          <w:rFonts w:hint="eastAsia" w:ascii="宋体" w:hAnsi="宋体"/>
          <w:bCs/>
          <w:szCs w:val="21"/>
          <w:highlight w:val="none"/>
        </w:rPr>
      </w:pPr>
      <w:r>
        <w:rPr>
          <w:rFonts w:hint="eastAsia" w:ascii="宋体" w:hAnsi="宋体"/>
          <w:bCs/>
          <w:szCs w:val="21"/>
          <w:highlight w:val="none"/>
        </w:rPr>
        <w:t>（3）履约验收方式：</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一次性验收         </w:t>
      </w:r>
    </w:p>
    <w:p w14:paraId="154F382A">
      <w:pPr>
        <w:adjustRightInd w:val="0"/>
        <w:snapToGrid w:val="0"/>
        <w:spacing w:before="0" w:beforeLines="0" w:line="400" w:lineRule="exact"/>
        <w:ind w:firstLine="0" w:firstLineChars="0"/>
        <w:rPr>
          <w:rFonts w:hint="eastAsia" w:ascii="宋体" w:hAnsi="宋体" w:eastAsia="宋体"/>
          <w:bCs/>
          <w:szCs w:val="21"/>
          <w:highlight w:val="none"/>
          <w:lang w:val="en-US" w:eastAsia="zh-CN"/>
        </w:rPr>
      </w:pPr>
      <w:r>
        <w:rPr>
          <w:rFonts w:hint="eastAsia" w:ascii="宋体" w:hAnsi="宋体"/>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bCs/>
          <w:szCs w:val="21"/>
          <w:highlight w:val="none"/>
        </w:rPr>
        <w:t>分期/分项验收</w:t>
      </w:r>
      <w:r>
        <w:rPr>
          <w:rFonts w:hint="eastAsia" w:ascii="宋体" w:hAnsi="宋体"/>
          <w:bCs/>
          <w:szCs w:val="21"/>
          <w:highlight w:val="none"/>
          <w:lang w:eastAsia="zh-CN"/>
        </w:rPr>
        <w:t>：</w:t>
      </w:r>
      <w:r>
        <w:rPr>
          <w:rFonts w:hint="eastAsia" w:ascii="宋体" w:hAnsi="宋体"/>
          <w:bCs/>
          <w:szCs w:val="21"/>
          <w:highlight w:val="none"/>
          <w:u w:val="single"/>
        </w:rPr>
        <w:t xml:space="preserve"> </w:t>
      </w:r>
      <w:r>
        <w:rPr>
          <w:rFonts w:hint="eastAsia" w:ascii="宋体" w:hAnsi="宋体"/>
          <w:bCs/>
          <w:szCs w:val="21"/>
          <w:highlight w:val="none"/>
          <w:u w:val="single"/>
          <w:lang w:eastAsia="zh-CN"/>
        </w:rPr>
        <w:t>（应明确分期</w:t>
      </w:r>
      <w:r>
        <w:rPr>
          <w:rFonts w:hint="default" w:ascii="宋体" w:hAnsi="宋体"/>
          <w:bCs/>
          <w:szCs w:val="21"/>
          <w:highlight w:val="none"/>
          <w:u w:val="single"/>
          <w:lang w:val="en" w:eastAsia="zh-CN"/>
        </w:rPr>
        <w:t>/</w:t>
      </w:r>
      <w:r>
        <w:rPr>
          <w:rFonts w:hint="eastAsia" w:ascii="宋体" w:hAnsi="宋体"/>
          <w:bCs/>
          <w:szCs w:val="21"/>
          <w:highlight w:val="none"/>
          <w:u w:val="single"/>
          <w:lang w:val="en" w:eastAsia="zh-CN"/>
        </w:rPr>
        <w:t>分项验收的工作安排</w:t>
      </w:r>
      <w:r>
        <w:rPr>
          <w:rFonts w:hint="eastAsia" w:ascii="宋体" w:hAnsi="宋体"/>
          <w:bCs/>
          <w:szCs w:val="21"/>
          <w:highlight w:val="none"/>
          <w:u w:val="single"/>
          <w:lang w:eastAsia="zh-CN"/>
        </w:rPr>
        <w:t>）</w:t>
      </w:r>
    </w:p>
    <w:p w14:paraId="16452F5C">
      <w:pPr>
        <w:adjustRightInd w:val="0"/>
        <w:snapToGrid w:val="0"/>
        <w:spacing w:before="0" w:beforeLines="0" w:line="400" w:lineRule="exact"/>
        <w:ind w:firstLine="400" w:firstLineChars="200"/>
        <w:rPr>
          <w:rFonts w:ascii="宋体" w:hAnsi="宋体"/>
          <w:bCs/>
          <w:szCs w:val="21"/>
          <w:highlight w:val="none"/>
        </w:rPr>
      </w:pPr>
      <w:r>
        <w:rPr>
          <w:rFonts w:hint="eastAsia" w:ascii="宋体" w:hAnsi="宋体"/>
          <w:bCs/>
          <w:szCs w:val="21"/>
          <w:highlight w:val="none"/>
        </w:rPr>
        <w:t>（4）履约验收程序：</w:t>
      </w:r>
    </w:p>
    <w:p w14:paraId="23DD3436">
      <w:pPr>
        <w:adjustRightInd w:val="0"/>
        <w:snapToGrid w:val="0"/>
        <w:spacing w:before="0" w:beforeLines="0" w:line="400" w:lineRule="exact"/>
        <w:ind w:firstLine="400" w:firstLineChars="200"/>
        <w:rPr>
          <w:rFonts w:ascii="宋体" w:hAnsi="宋体"/>
          <w:bCs/>
          <w:szCs w:val="21"/>
          <w:highlight w:val="none"/>
          <w:u w:val="single"/>
        </w:rPr>
      </w:pPr>
      <w:r>
        <w:rPr>
          <w:rFonts w:hint="eastAsia" w:ascii="宋体" w:hAnsi="宋体"/>
          <w:bCs/>
          <w:szCs w:val="21"/>
          <w:highlight w:val="none"/>
        </w:rPr>
        <w:t>（5）履约验收的内容：</w:t>
      </w:r>
      <w:r>
        <w:rPr>
          <w:rFonts w:hint="eastAsia" w:ascii="宋体" w:hAnsi="宋体"/>
          <w:bCs/>
          <w:szCs w:val="21"/>
          <w:highlight w:val="none"/>
          <w:u w:val="single"/>
        </w:rPr>
        <w:t xml:space="preserve"> </w:t>
      </w:r>
      <w:r>
        <w:rPr>
          <w:rFonts w:hint="eastAsia" w:ascii="宋体" w:hAnsi="宋体"/>
          <w:bCs/>
          <w:szCs w:val="21"/>
          <w:highlight w:val="none"/>
          <w:u w:val="single"/>
          <w:lang w:eastAsia="zh-CN"/>
        </w:rPr>
        <w:t>（应当包括每一项技术和商务要求的履约情况，特别是落实政府采购扶持中小企业，支持绿色发展和乡村振兴等政策情况）</w:t>
      </w:r>
    </w:p>
    <w:p w14:paraId="019A97EC">
      <w:pPr>
        <w:adjustRightInd w:val="0"/>
        <w:snapToGrid w:val="0"/>
        <w:spacing w:before="0" w:beforeLines="0" w:line="400" w:lineRule="exact"/>
        <w:ind w:firstLine="400" w:firstLineChars="200"/>
        <w:rPr>
          <w:rFonts w:hint="eastAsia" w:ascii="宋体" w:hAnsi="宋体"/>
          <w:bCs/>
          <w:szCs w:val="21"/>
          <w:highlight w:val="none"/>
          <w:u w:val="single"/>
        </w:rPr>
      </w:pPr>
      <w:r>
        <w:rPr>
          <w:rFonts w:hint="eastAsia" w:ascii="宋体" w:hAnsi="宋体"/>
          <w:bCs/>
          <w:szCs w:val="21"/>
          <w:highlight w:val="none"/>
        </w:rPr>
        <w:t>（6）履约验收标准：</w:t>
      </w:r>
    </w:p>
    <w:p w14:paraId="1AFB7C79">
      <w:pPr>
        <w:pStyle w:val="148"/>
        <w:spacing w:beforeLines="0"/>
        <w:rPr>
          <w:rFonts w:hint="eastAsia" w:ascii="宋体" w:hAnsi="宋体" w:eastAsia="宋体" w:cs="宋体"/>
          <w:sz w:val="21"/>
          <w:highlight w:val="none"/>
          <w:lang w:eastAsia="zh-CN"/>
        </w:rPr>
      </w:pPr>
      <w:r>
        <w:rPr>
          <w:rFonts w:hint="eastAsia" w:ascii="宋体" w:hAnsi="宋体" w:eastAsia="宋体" w:cs="宋体"/>
          <w:bCs/>
          <w:sz w:val="21"/>
          <w:szCs w:val="21"/>
          <w:highlight w:val="none"/>
          <w:u w:val="none"/>
          <w:lang w:eastAsia="zh-CN"/>
        </w:rPr>
        <w:t>（</w:t>
      </w:r>
      <w:r>
        <w:rPr>
          <w:rFonts w:hint="eastAsia" w:ascii="宋体" w:hAnsi="宋体" w:eastAsia="宋体" w:cs="宋体"/>
          <w:bCs/>
          <w:sz w:val="21"/>
          <w:szCs w:val="21"/>
          <w:highlight w:val="none"/>
          <w:u w:val="none"/>
          <w:lang w:val="en-US" w:eastAsia="zh-CN"/>
        </w:rPr>
        <w:t>7</w:t>
      </w:r>
      <w:r>
        <w:rPr>
          <w:rFonts w:hint="eastAsia" w:ascii="宋体" w:hAnsi="宋体" w:eastAsia="宋体" w:cs="宋体"/>
          <w:bCs/>
          <w:sz w:val="21"/>
          <w:szCs w:val="21"/>
          <w:highlight w:val="none"/>
          <w:u w:val="none"/>
          <w:lang w:eastAsia="zh-CN"/>
        </w:rPr>
        <w:t>）是否以采购活动中供应商提供的样品作为参考：</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否</w:t>
      </w:r>
    </w:p>
    <w:p w14:paraId="3A09DB72">
      <w:pPr>
        <w:adjustRightInd w:val="0"/>
        <w:snapToGrid w:val="0"/>
        <w:spacing w:before="0" w:beforeLines="0" w:line="400" w:lineRule="exact"/>
        <w:ind w:firstLine="400" w:firstLineChars="200"/>
        <w:rPr>
          <w:rFonts w:hint="eastAsia" w:ascii="宋体" w:hAnsi="宋体" w:cs="宋体"/>
          <w:bCs/>
          <w:szCs w:val="21"/>
          <w:highlight w:val="none"/>
          <w:u w:val="single"/>
        </w:rPr>
      </w:pPr>
      <w:r>
        <w:rPr>
          <w:rFonts w:hint="eastAsia" w:ascii="宋体" w:hAnsi="宋体" w:cs="宋体"/>
          <w:bCs/>
          <w:szCs w:val="21"/>
          <w:highlight w:val="none"/>
        </w:rPr>
        <w:t>（8）履约验收其他事项：</w:t>
      </w:r>
      <w:r>
        <w:rPr>
          <w:rFonts w:hint="eastAsia" w:ascii="宋体" w:hAnsi="宋体" w:cs="宋体"/>
          <w:bCs/>
          <w:szCs w:val="21"/>
          <w:highlight w:val="none"/>
          <w:u w:val="single"/>
        </w:rPr>
        <w:t xml:space="preserve">      </w:t>
      </w:r>
      <w:r>
        <w:rPr>
          <w:rFonts w:hint="eastAsia" w:ascii="宋体" w:hAnsi="宋体" w:cs="宋体"/>
          <w:bCs/>
          <w:i w:val="0"/>
          <w:iCs w:val="0"/>
          <w:szCs w:val="21"/>
          <w:highlight w:val="none"/>
          <w:u w:val="single"/>
        </w:rPr>
        <w:t>（产权过户登记等）</w:t>
      </w:r>
    </w:p>
    <w:p w14:paraId="69A1C78C">
      <w:pPr>
        <w:numPr>
          <w:ilvl w:val="0"/>
          <w:numId w:val="2"/>
        </w:numPr>
        <w:adjustRightInd w:val="0"/>
        <w:snapToGrid w:val="0"/>
        <w:spacing w:before="0" w:beforeLines="0" w:line="400" w:lineRule="exact"/>
        <w:ind w:firstLine="402" w:firstLineChars="200"/>
        <w:rPr>
          <w:rFonts w:hint="eastAsia" w:ascii="宋体" w:hAnsi="宋体"/>
          <w:b/>
          <w:szCs w:val="21"/>
          <w:highlight w:val="none"/>
        </w:rPr>
      </w:pPr>
      <w:r>
        <w:rPr>
          <w:rFonts w:hint="eastAsia" w:ascii="宋体" w:hAnsi="宋体"/>
          <w:b/>
          <w:szCs w:val="21"/>
          <w:highlight w:val="none"/>
        </w:rPr>
        <w:t>组成合同的文件</w:t>
      </w:r>
    </w:p>
    <w:p w14:paraId="34BD920B">
      <w:pPr>
        <w:adjustRightInd w:val="0"/>
        <w:snapToGrid w:val="0"/>
        <w:spacing w:before="0" w:beforeLines="0" w:line="400" w:lineRule="exact"/>
        <w:ind w:firstLine="400" w:firstLineChars="200"/>
        <w:rPr>
          <w:rFonts w:ascii="宋体" w:hAnsi="宋体"/>
          <w:szCs w:val="21"/>
          <w:highlight w:val="none"/>
        </w:rPr>
      </w:pPr>
      <w:r>
        <w:rPr>
          <w:rFonts w:hint="eastAsia" w:ascii="宋体" w:hAnsi="宋体"/>
          <w:szCs w:val="21"/>
          <w:highlight w:val="none"/>
        </w:rPr>
        <w:t>本协议书与下列文件一起构成合同文件，如下述文件之间有任何抵触、矛盾或歧义，应按以下顺序解释：</w:t>
      </w:r>
    </w:p>
    <w:p w14:paraId="64BFDBC9">
      <w:pPr>
        <w:adjustRightInd w:val="0"/>
        <w:snapToGrid w:val="0"/>
        <w:spacing w:before="0" w:beforeLines="0" w:line="400" w:lineRule="exact"/>
        <w:ind w:firstLine="400" w:firstLineChars="200"/>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p>
    <w:p w14:paraId="53D750DC">
      <w:pPr>
        <w:adjustRightInd w:val="0"/>
        <w:snapToGrid w:val="0"/>
        <w:spacing w:before="0" w:beforeLines="0" w:line="400" w:lineRule="exact"/>
        <w:ind w:firstLine="40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2</w:t>
      </w:r>
      <w:r>
        <w:rPr>
          <w:rFonts w:hint="eastAsia" w:ascii="宋体" w:hAnsi="宋体"/>
          <w:szCs w:val="21"/>
          <w:highlight w:val="none"/>
        </w:rPr>
        <w:t>）政府采购合同专用条款</w:t>
      </w:r>
    </w:p>
    <w:p w14:paraId="1B2D689D">
      <w:pPr>
        <w:adjustRightInd w:val="0"/>
        <w:snapToGrid w:val="0"/>
        <w:spacing w:before="0" w:beforeLines="0" w:line="400" w:lineRule="exact"/>
        <w:ind w:firstLine="40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3</w:t>
      </w:r>
      <w:r>
        <w:rPr>
          <w:rFonts w:hint="eastAsia" w:ascii="宋体" w:hAnsi="宋体"/>
          <w:szCs w:val="21"/>
          <w:highlight w:val="none"/>
        </w:rPr>
        <w:t>）政府采购合同通用条款</w:t>
      </w:r>
    </w:p>
    <w:p w14:paraId="5B7EA923">
      <w:pPr>
        <w:adjustRightInd w:val="0"/>
        <w:snapToGrid w:val="0"/>
        <w:spacing w:before="0" w:beforeLines="0" w:line="400" w:lineRule="exact"/>
        <w:ind w:firstLine="40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p>
    <w:p w14:paraId="1ACF48BA">
      <w:pPr>
        <w:adjustRightInd w:val="0"/>
        <w:snapToGrid w:val="0"/>
        <w:spacing w:before="0" w:beforeLines="0" w:line="400" w:lineRule="exact"/>
        <w:ind w:firstLine="40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）投标（响应）文件</w:t>
      </w:r>
    </w:p>
    <w:p w14:paraId="7E406CFE">
      <w:pPr>
        <w:adjustRightInd w:val="0"/>
        <w:snapToGrid w:val="0"/>
        <w:spacing w:before="0" w:beforeLines="0" w:line="400" w:lineRule="exact"/>
        <w:ind w:firstLine="400" w:firstLineChars="200"/>
        <w:rPr>
          <w:rFonts w:ascii="宋体" w:hAnsi="宋体"/>
          <w:szCs w:val="21"/>
          <w:highlight w:val="none"/>
        </w:rPr>
      </w:pPr>
      <w:r>
        <w:rPr>
          <w:rFonts w:hint="eastAsia" w:ascii="宋体" w:hAnsi="宋体"/>
          <w:szCs w:val="21"/>
          <w:highlight w:val="none"/>
        </w:rPr>
        <w:t>（6）采购文件</w:t>
      </w:r>
    </w:p>
    <w:p w14:paraId="2786E8B9">
      <w:pPr>
        <w:adjustRightInd w:val="0"/>
        <w:snapToGrid w:val="0"/>
        <w:spacing w:before="0" w:beforeLines="0" w:line="400" w:lineRule="exact"/>
        <w:ind w:firstLine="400" w:firstLineChars="200"/>
        <w:rPr>
          <w:rFonts w:ascii="宋体" w:hAnsi="宋体"/>
          <w:szCs w:val="21"/>
          <w:highlight w:val="none"/>
        </w:rPr>
      </w:pPr>
      <w:r>
        <w:rPr>
          <w:rFonts w:hint="eastAsia" w:ascii="宋体" w:hAnsi="宋体"/>
          <w:szCs w:val="21"/>
          <w:highlight w:val="none"/>
        </w:rPr>
        <w:t>（7）有关技术文件，图纸</w:t>
      </w:r>
    </w:p>
    <w:p w14:paraId="5E33F607">
      <w:pPr>
        <w:pStyle w:val="148"/>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p>
    <w:p w14:paraId="0825B41C">
      <w:pPr>
        <w:numPr>
          <w:ilvl w:val="0"/>
          <w:numId w:val="2"/>
        </w:numPr>
        <w:adjustRightInd w:val="0"/>
        <w:snapToGrid w:val="0"/>
        <w:spacing w:before="0" w:beforeLines="0" w:line="400" w:lineRule="exact"/>
        <w:ind w:firstLine="402" w:firstLineChars="200"/>
        <w:rPr>
          <w:rFonts w:hint="eastAsia" w:ascii="宋体" w:hAnsi="宋体"/>
          <w:b/>
          <w:szCs w:val="21"/>
          <w:highlight w:val="none"/>
        </w:rPr>
      </w:pPr>
      <w:r>
        <w:rPr>
          <w:rFonts w:hint="eastAsia" w:ascii="宋体" w:hAnsi="宋体"/>
          <w:b/>
          <w:szCs w:val="21"/>
          <w:highlight w:val="none"/>
        </w:rPr>
        <w:t>合同生效</w:t>
      </w:r>
    </w:p>
    <w:p w14:paraId="46F89DAC">
      <w:pPr>
        <w:adjustRightInd w:val="0"/>
        <w:snapToGrid w:val="0"/>
        <w:spacing w:before="0" w:beforeLines="0" w:line="400" w:lineRule="exact"/>
        <w:ind w:firstLine="400" w:firstLineChars="200"/>
        <w:rPr>
          <w:rFonts w:ascii="宋体" w:hAnsi="宋体"/>
          <w:szCs w:val="21"/>
          <w:highlight w:val="none"/>
        </w:rPr>
      </w:pPr>
      <w:r>
        <w:rPr>
          <w:rFonts w:hint="eastAsia" w:ascii="宋体" w:hAnsi="宋体"/>
          <w:szCs w:val="21"/>
          <w:highlight w:val="none"/>
        </w:rPr>
        <w:t>本合同自</w:t>
      </w:r>
      <w:r>
        <w:rPr>
          <w:rFonts w:hint="eastAsia" w:ascii="宋体" w:hAnsi="宋体"/>
          <w:szCs w:val="21"/>
          <w:highlight w:val="none"/>
          <w:u w:val="single"/>
        </w:rPr>
        <w:t xml:space="preserve">                             </w:t>
      </w:r>
      <w:r>
        <w:rPr>
          <w:rFonts w:hint="eastAsia" w:ascii="宋体" w:hAnsi="宋体"/>
          <w:szCs w:val="21"/>
          <w:highlight w:val="none"/>
        </w:rPr>
        <w:t>生效。</w:t>
      </w:r>
    </w:p>
    <w:p w14:paraId="669AFF5D">
      <w:pPr>
        <w:numPr>
          <w:ilvl w:val="0"/>
          <w:numId w:val="2"/>
        </w:numPr>
        <w:adjustRightInd w:val="0"/>
        <w:snapToGrid w:val="0"/>
        <w:spacing w:before="0" w:beforeLines="0" w:line="400" w:lineRule="exact"/>
        <w:ind w:firstLine="402" w:firstLineChars="200"/>
        <w:rPr>
          <w:rFonts w:hint="eastAsia" w:ascii="宋体" w:hAnsi="宋体"/>
          <w:b/>
          <w:szCs w:val="21"/>
          <w:highlight w:val="none"/>
        </w:rPr>
      </w:pPr>
      <w:r>
        <w:rPr>
          <w:rFonts w:hint="eastAsia" w:ascii="宋体" w:hAnsi="宋体"/>
          <w:b/>
          <w:szCs w:val="21"/>
          <w:highlight w:val="none"/>
        </w:rPr>
        <w:t>合同份数</w:t>
      </w:r>
    </w:p>
    <w:p w14:paraId="5F61C8F5">
      <w:pPr>
        <w:adjustRightInd w:val="0"/>
        <w:snapToGrid w:val="0"/>
        <w:spacing w:before="0" w:beforeLines="0" w:line="400" w:lineRule="exact"/>
        <w:ind w:firstLine="400" w:firstLineChars="200"/>
        <w:rPr>
          <w:rFonts w:ascii="宋体" w:hAnsi="宋体"/>
          <w:szCs w:val="21"/>
          <w:highlight w:val="none"/>
        </w:rPr>
      </w:pPr>
      <w:r>
        <w:rPr>
          <w:rFonts w:hint="eastAsia" w:ascii="宋体" w:hAnsi="宋体"/>
          <w:szCs w:val="21"/>
          <w:highlight w:val="none"/>
        </w:rPr>
        <w:t>本合同一式</w:t>
      </w:r>
      <w:r>
        <w:rPr>
          <w:rFonts w:hint="eastAsia" w:ascii="宋体" w:hAnsi="宋体"/>
          <w:szCs w:val="21"/>
          <w:highlight w:val="none"/>
          <w:u w:val="single"/>
        </w:rPr>
        <w:t xml:space="preserve">    </w:t>
      </w:r>
      <w:r>
        <w:rPr>
          <w:rFonts w:hint="eastAsia" w:ascii="宋体" w:hAnsi="宋体"/>
          <w:szCs w:val="21"/>
          <w:highlight w:val="none"/>
        </w:rPr>
        <w:t>份，</w:t>
      </w:r>
      <w:r>
        <w:rPr>
          <w:rFonts w:hint="eastAsia" w:ascii="宋体" w:hAnsi="宋体"/>
          <w:szCs w:val="21"/>
          <w:highlight w:val="none"/>
          <w:lang w:eastAsia="zh-CN"/>
        </w:rPr>
        <w:t>甲方</w:t>
      </w:r>
      <w:r>
        <w:rPr>
          <w:rFonts w:hint="eastAsia" w:ascii="宋体" w:hAnsi="宋体"/>
          <w:szCs w:val="21"/>
          <w:highlight w:val="none"/>
        </w:rPr>
        <w:t>执</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份，</w:t>
      </w:r>
      <w:r>
        <w:rPr>
          <w:rFonts w:hint="eastAsia" w:ascii="宋体" w:hAnsi="宋体"/>
          <w:szCs w:val="21"/>
          <w:highlight w:val="none"/>
          <w:lang w:eastAsia="zh-CN"/>
        </w:rPr>
        <w:t>乙方</w:t>
      </w:r>
      <w:r>
        <w:rPr>
          <w:rFonts w:hint="eastAsia" w:ascii="宋体" w:hAnsi="宋体"/>
          <w:szCs w:val="21"/>
          <w:highlight w:val="none"/>
        </w:rPr>
        <w:t>执</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份，均具有同等法律效力。</w:t>
      </w:r>
    </w:p>
    <w:p w14:paraId="6A8710B7">
      <w:pPr>
        <w:adjustRightInd w:val="0"/>
        <w:snapToGrid w:val="0"/>
        <w:spacing w:before="0" w:beforeLines="0" w:line="400" w:lineRule="exact"/>
        <w:ind w:firstLine="400" w:firstLineChars="200"/>
        <w:rPr>
          <w:rFonts w:ascii="宋体" w:hAnsi="宋体"/>
          <w:szCs w:val="21"/>
          <w:highlight w:val="none"/>
        </w:rPr>
      </w:pPr>
      <w:r>
        <w:rPr>
          <w:rFonts w:hint="eastAsia" w:ascii="宋体" w:hAnsi="宋体"/>
          <w:szCs w:val="21"/>
          <w:highlight w:val="none"/>
        </w:rPr>
        <w:t>合同订立时间：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3DC7CAD3">
      <w:pPr>
        <w:adjustRightInd w:val="0"/>
        <w:snapToGrid w:val="0"/>
        <w:spacing w:before="0" w:beforeLines="0" w:line="400" w:lineRule="exact"/>
        <w:ind w:firstLine="400" w:firstLineChars="200"/>
        <w:rPr>
          <w:rFonts w:ascii="宋体" w:hAnsi="宋体"/>
          <w:szCs w:val="21"/>
          <w:highlight w:val="none"/>
        </w:rPr>
      </w:pPr>
      <w:r>
        <w:rPr>
          <w:rFonts w:hint="eastAsia" w:ascii="宋体" w:hAnsi="宋体"/>
          <w:szCs w:val="21"/>
          <w:highlight w:val="none"/>
        </w:rPr>
        <w:t>合同订立地点：</w:t>
      </w:r>
    </w:p>
    <w:p w14:paraId="4B58809E">
      <w:pPr>
        <w:adjustRightInd w:val="0"/>
        <w:snapToGrid w:val="0"/>
        <w:spacing w:before="0" w:beforeLines="0" w:line="400" w:lineRule="exact"/>
        <w:ind w:firstLine="400" w:firstLineChars="200"/>
        <w:rPr>
          <w:highlight w:val="none"/>
        </w:rPr>
      </w:pPr>
      <w:r>
        <w:rPr>
          <w:rFonts w:hint="eastAsia" w:ascii="宋体" w:hAnsi="宋体"/>
          <w:szCs w:val="21"/>
          <w:highlight w:val="none"/>
        </w:rPr>
        <w:t>附件：具体标</w:t>
      </w:r>
      <w:r>
        <w:rPr>
          <w:rFonts w:hint="eastAsia" w:ascii="宋体" w:hAnsi="宋体"/>
          <w:szCs w:val="21"/>
          <w:highlight w:val="none"/>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highlight w:val="none"/>
        </w:rPr>
        <w:t>、联合协议、分包</w:t>
      </w:r>
      <w:r>
        <w:rPr>
          <w:rFonts w:hint="eastAsia" w:ascii="宋体" w:hAnsi="宋体"/>
          <w:szCs w:val="21"/>
          <w:highlight w:val="none"/>
          <w:lang w:eastAsia="zh-CN"/>
        </w:rPr>
        <w:t>意向</w:t>
      </w:r>
      <w:r>
        <w:rPr>
          <w:rFonts w:hint="eastAsia" w:ascii="宋体" w:hAnsi="宋体"/>
          <w:szCs w:val="21"/>
          <w:highlight w:val="none"/>
        </w:rPr>
        <w:t>协议等。</w:t>
      </w:r>
    </w:p>
    <w:p w14:paraId="6CA8EAC2">
      <w:pPr>
        <w:rPr>
          <w:rFonts w:hint="eastAsia"/>
          <w:highlight w:val="none"/>
        </w:rPr>
      </w:pPr>
      <w:r>
        <w:rPr>
          <w:rFonts w:hint="eastAsia"/>
          <w:highlight w:val="none"/>
        </w:rPr>
        <w:br w:type="page"/>
      </w:r>
    </w:p>
    <w:tbl>
      <w:tblPr>
        <w:tblStyle w:val="4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10"/>
        <w:gridCol w:w="2693"/>
        <w:gridCol w:w="2209"/>
        <w:gridCol w:w="2363"/>
      </w:tblGrid>
      <w:tr w14:paraId="4DD030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4F357F49">
            <w:pPr>
              <w:adjustRightInd w:val="0"/>
              <w:snapToGrid w:val="0"/>
              <w:spacing w:line="300" w:lineRule="exact"/>
              <w:jc w:val="center"/>
              <w:rPr>
                <w:highlight w:val="none"/>
              </w:rPr>
            </w:pPr>
            <w:r>
              <w:rPr>
                <w:szCs w:val="21"/>
                <w:highlight w:val="none"/>
              </w:rPr>
              <w:t>甲方</w:t>
            </w:r>
            <w:r>
              <w:rPr>
                <w:rFonts w:hint="eastAsia"/>
                <w:szCs w:val="21"/>
                <w:highlight w:val="none"/>
              </w:rPr>
              <w:t>（采购人</w:t>
            </w:r>
            <w:r>
              <w:rPr>
                <w:rFonts w:hint="eastAsia" w:ascii="宋体" w:hAnsi="宋体"/>
                <w:szCs w:val="21"/>
                <w:highlight w:val="none"/>
                <w:lang w:eastAsia="zh-CN"/>
              </w:rPr>
              <w:t>、受采购人委托签订合同的单位</w:t>
            </w:r>
            <w:r>
              <w:rPr>
                <w:rFonts w:hint="eastAsia" w:ascii="宋体" w:hAnsi="宋体"/>
                <w:szCs w:val="21"/>
                <w:highlight w:val="none"/>
              </w:rPr>
              <w:t>或</w:t>
            </w:r>
            <w:r>
              <w:rPr>
                <w:rFonts w:hint="eastAsia"/>
                <w:szCs w:val="21"/>
                <w:highlight w:val="none"/>
              </w:rPr>
              <w:t>采购文件约定的合同甲方）</w:t>
            </w:r>
          </w:p>
        </w:tc>
        <w:tc>
          <w:tcPr>
            <w:tcW w:w="2437" w:type="pct"/>
            <w:gridSpan w:val="2"/>
            <w:tcBorders>
              <w:left w:val="single" w:color="auto" w:sz="2" w:space="0"/>
              <w:bottom w:val="single" w:color="auto" w:sz="2" w:space="0"/>
            </w:tcBorders>
            <w:noWrap w:val="0"/>
            <w:vAlign w:val="center"/>
          </w:tcPr>
          <w:p w14:paraId="6D6B5E78">
            <w:pPr>
              <w:adjustRightInd w:val="0"/>
              <w:snapToGrid w:val="0"/>
              <w:spacing w:line="300" w:lineRule="exact"/>
              <w:jc w:val="center"/>
              <w:rPr>
                <w:highlight w:val="none"/>
              </w:rPr>
            </w:pPr>
            <w:r>
              <w:rPr>
                <w:szCs w:val="21"/>
                <w:highlight w:val="none"/>
              </w:rPr>
              <w:t>乙方</w:t>
            </w:r>
            <w:r>
              <w:rPr>
                <w:rFonts w:hint="eastAsia"/>
                <w:szCs w:val="21"/>
                <w:highlight w:val="none"/>
              </w:rPr>
              <w:t>（供应商）</w:t>
            </w:r>
          </w:p>
        </w:tc>
      </w:tr>
      <w:tr w14:paraId="1649B9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054EA581">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w:t>
            </w:r>
            <w:r>
              <w:rPr>
                <w:rFonts w:hint="eastAsia"/>
                <w:szCs w:val="21"/>
                <w:highlight w:val="none"/>
                <w:lang w:eastAsia="zh-CN"/>
              </w:rPr>
              <w:t>或合同章</w:t>
            </w:r>
            <w:r>
              <w:rPr>
                <w:rFonts w:hint="eastAsia"/>
                <w:szCs w:val="21"/>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BE6E281">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E627D1F">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w:t>
            </w:r>
            <w:r>
              <w:rPr>
                <w:rFonts w:hint="eastAsia"/>
                <w:szCs w:val="21"/>
                <w:highlight w:val="none"/>
                <w:lang w:eastAsia="zh-CN"/>
              </w:rPr>
              <w:t>或合同章</w:t>
            </w:r>
            <w:r>
              <w:rPr>
                <w:rFonts w:hint="eastAsia"/>
                <w:szCs w:val="21"/>
                <w:highlight w:val="none"/>
              </w:rPr>
              <w:t>）</w:t>
            </w:r>
          </w:p>
        </w:tc>
        <w:tc>
          <w:tcPr>
            <w:tcW w:w="1259" w:type="pct"/>
            <w:tcBorders>
              <w:top w:val="single" w:color="auto" w:sz="2" w:space="0"/>
              <w:left w:val="single" w:color="auto" w:sz="2" w:space="0"/>
              <w:bottom w:val="single" w:color="auto" w:sz="2" w:space="0"/>
            </w:tcBorders>
            <w:noWrap w:val="0"/>
            <w:vAlign w:val="center"/>
          </w:tcPr>
          <w:p w14:paraId="174BE51D">
            <w:pPr>
              <w:adjustRightInd w:val="0"/>
              <w:snapToGrid w:val="0"/>
              <w:spacing w:line="300" w:lineRule="exact"/>
              <w:jc w:val="center"/>
              <w:rPr>
                <w:spacing w:val="20"/>
                <w:szCs w:val="21"/>
                <w:highlight w:val="none"/>
              </w:rPr>
            </w:pPr>
          </w:p>
        </w:tc>
      </w:tr>
      <w:tr w14:paraId="4FC013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1145CC1C">
            <w:pPr>
              <w:adjustRightInd w:val="0"/>
              <w:snapToGrid w:val="0"/>
              <w:spacing w:line="300" w:lineRule="exact"/>
              <w:jc w:val="center"/>
              <w:rPr>
                <w:szCs w:val="21"/>
                <w:highlight w:val="none"/>
              </w:rPr>
            </w:pPr>
            <w:r>
              <w:rPr>
                <w:szCs w:val="21"/>
                <w:highlight w:val="none"/>
              </w:rPr>
              <w:t>法定代表人</w:t>
            </w:r>
          </w:p>
          <w:p w14:paraId="21F450EE">
            <w:pPr>
              <w:adjustRightInd w:val="0"/>
              <w:snapToGrid w:val="0"/>
              <w:spacing w:line="300" w:lineRule="exact"/>
              <w:ind w:firstLine="96" w:firstLineChars="48"/>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436" w:type="pct"/>
            <w:vMerge w:val="restart"/>
            <w:tcBorders>
              <w:top w:val="single" w:color="auto" w:sz="2" w:space="0"/>
              <w:left w:val="single" w:color="auto" w:sz="2" w:space="0"/>
              <w:right w:val="single" w:color="auto" w:sz="2" w:space="0"/>
            </w:tcBorders>
            <w:noWrap w:val="0"/>
            <w:vAlign w:val="center"/>
          </w:tcPr>
          <w:p w14:paraId="3A22DC78">
            <w:pPr>
              <w:adjustRightInd w:val="0"/>
              <w:snapToGrid w:val="0"/>
              <w:spacing w:line="300" w:lineRule="exact"/>
              <w:jc w:val="center"/>
              <w:rPr>
                <w:szCs w:val="21"/>
                <w:highlight w:val="none"/>
              </w:rPr>
            </w:pPr>
          </w:p>
        </w:tc>
        <w:tc>
          <w:tcPr>
            <w:tcW w:w="1178" w:type="pct"/>
            <w:tcBorders>
              <w:top w:val="single" w:color="auto" w:sz="2" w:space="0"/>
              <w:left w:val="single" w:color="auto" w:sz="2" w:space="0"/>
              <w:right w:val="single" w:color="auto" w:sz="2" w:space="0"/>
            </w:tcBorders>
            <w:noWrap w:val="0"/>
            <w:vAlign w:val="center"/>
          </w:tcPr>
          <w:p w14:paraId="1C1DC752">
            <w:pPr>
              <w:adjustRightInd w:val="0"/>
              <w:snapToGrid w:val="0"/>
              <w:spacing w:line="300" w:lineRule="exact"/>
              <w:jc w:val="center"/>
              <w:rPr>
                <w:szCs w:val="21"/>
                <w:highlight w:val="none"/>
              </w:rPr>
            </w:pPr>
            <w:r>
              <w:rPr>
                <w:szCs w:val="21"/>
                <w:highlight w:val="none"/>
              </w:rPr>
              <w:t>法定代表人</w:t>
            </w:r>
          </w:p>
          <w:p w14:paraId="22CB3CBE">
            <w:pPr>
              <w:adjustRightInd w:val="0"/>
              <w:snapToGrid w:val="0"/>
              <w:spacing w:line="300" w:lineRule="exact"/>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259" w:type="pct"/>
            <w:tcBorders>
              <w:top w:val="single" w:color="auto" w:sz="2" w:space="0"/>
              <w:left w:val="single" w:color="auto" w:sz="2" w:space="0"/>
              <w:bottom w:val="single" w:color="auto" w:sz="2" w:space="0"/>
            </w:tcBorders>
            <w:noWrap w:val="0"/>
            <w:vAlign w:val="center"/>
          </w:tcPr>
          <w:p w14:paraId="29E02899">
            <w:pPr>
              <w:adjustRightInd w:val="0"/>
              <w:snapToGrid w:val="0"/>
              <w:spacing w:line="300" w:lineRule="exact"/>
              <w:jc w:val="center"/>
              <w:rPr>
                <w:szCs w:val="21"/>
                <w:highlight w:val="none"/>
              </w:rPr>
            </w:pPr>
          </w:p>
        </w:tc>
      </w:tr>
      <w:tr w14:paraId="5E3AF7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44085DD8">
            <w:pPr>
              <w:adjustRightInd w:val="0"/>
              <w:snapToGrid w:val="0"/>
              <w:spacing w:line="300" w:lineRule="exact"/>
              <w:jc w:val="center"/>
              <w:rPr>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24E8E155">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C8D575A">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4CC3FB23">
            <w:pPr>
              <w:adjustRightInd w:val="0"/>
              <w:snapToGrid w:val="0"/>
              <w:spacing w:line="300" w:lineRule="exact"/>
              <w:jc w:val="center"/>
              <w:rPr>
                <w:spacing w:val="20"/>
                <w:szCs w:val="21"/>
                <w:highlight w:val="none"/>
              </w:rPr>
            </w:pPr>
          </w:p>
        </w:tc>
      </w:tr>
      <w:tr w14:paraId="002A414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8212DE7">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住</w:t>
            </w:r>
            <w:r>
              <w:rPr>
                <w:rFonts w:hint="eastAsia"/>
                <w:szCs w:val="21"/>
                <w:highlight w:val="none"/>
                <w:lang w:val="en-US" w:eastAsia="zh-CN"/>
              </w:rPr>
              <w:t xml:space="preserve">  </w:t>
            </w:r>
            <w:r>
              <w:rPr>
                <w:rFonts w:hint="eastAsia"/>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EABB91A">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E001584">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住</w:t>
            </w:r>
            <w:r>
              <w:rPr>
                <w:rFonts w:hint="eastAsia"/>
                <w:szCs w:val="21"/>
                <w:highlight w:val="none"/>
                <w:lang w:val="en-US" w:eastAsia="zh-CN"/>
              </w:rPr>
              <w:t xml:space="preserve">  </w:t>
            </w:r>
            <w:r>
              <w:rPr>
                <w:rFonts w:hint="eastAsia"/>
                <w:szCs w:val="21"/>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62498167">
            <w:pPr>
              <w:adjustRightInd w:val="0"/>
              <w:snapToGrid w:val="0"/>
              <w:spacing w:line="300" w:lineRule="exact"/>
              <w:jc w:val="center"/>
              <w:rPr>
                <w:spacing w:val="20"/>
                <w:szCs w:val="21"/>
                <w:highlight w:val="none"/>
              </w:rPr>
            </w:pPr>
          </w:p>
        </w:tc>
      </w:tr>
      <w:tr w14:paraId="17694A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7E7325B">
            <w:pPr>
              <w:adjustRightInd w:val="0"/>
              <w:snapToGrid w:val="0"/>
              <w:spacing w:line="300" w:lineRule="exact"/>
              <w:jc w:val="center"/>
              <w:rPr>
                <w:szCs w:val="21"/>
                <w:highlight w:val="none"/>
              </w:rPr>
            </w:pPr>
            <w:r>
              <w:rPr>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161B0D7">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17E0CD7">
            <w:pPr>
              <w:adjustRightInd w:val="0"/>
              <w:snapToGrid w:val="0"/>
              <w:spacing w:line="300" w:lineRule="exact"/>
              <w:jc w:val="center"/>
              <w:rPr>
                <w:szCs w:val="21"/>
                <w:highlight w:val="none"/>
              </w:rPr>
            </w:pPr>
            <w:r>
              <w:rPr>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716F7190">
            <w:pPr>
              <w:adjustRightInd w:val="0"/>
              <w:snapToGrid w:val="0"/>
              <w:spacing w:line="300" w:lineRule="exact"/>
              <w:jc w:val="center"/>
              <w:rPr>
                <w:spacing w:val="20"/>
                <w:szCs w:val="21"/>
                <w:highlight w:val="none"/>
              </w:rPr>
            </w:pPr>
          </w:p>
        </w:tc>
      </w:tr>
      <w:tr w14:paraId="5D3F5AF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5E56913">
            <w:pPr>
              <w:adjustRightInd w:val="0"/>
              <w:snapToGrid w:val="0"/>
              <w:spacing w:line="300" w:lineRule="exact"/>
              <w:jc w:val="center"/>
              <w:rPr>
                <w:szCs w:val="21"/>
                <w:highlight w:val="none"/>
              </w:rPr>
            </w:pPr>
            <w:r>
              <w:rPr>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60D6236">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38D9B98">
            <w:pPr>
              <w:adjustRightInd w:val="0"/>
              <w:snapToGrid w:val="0"/>
              <w:spacing w:line="300" w:lineRule="exact"/>
              <w:jc w:val="center"/>
              <w:rPr>
                <w:szCs w:val="21"/>
                <w:highlight w:val="none"/>
              </w:rPr>
            </w:pPr>
            <w:r>
              <w:rPr>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77680520">
            <w:pPr>
              <w:adjustRightInd w:val="0"/>
              <w:snapToGrid w:val="0"/>
              <w:spacing w:line="300" w:lineRule="exact"/>
              <w:jc w:val="center"/>
              <w:rPr>
                <w:spacing w:val="20"/>
                <w:szCs w:val="21"/>
                <w:highlight w:val="none"/>
              </w:rPr>
            </w:pPr>
          </w:p>
        </w:tc>
      </w:tr>
      <w:tr w14:paraId="30DBD9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007E77B">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A5F0541">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5C6BF62">
            <w:pPr>
              <w:adjustRightInd w:val="0"/>
              <w:snapToGrid w:val="0"/>
              <w:spacing w:line="300" w:lineRule="exact"/>
              <w:jc w:val="center"/>
              <w:rPr>
                <w:szCs w:val="21"/>
                <w:highlight w:val="none"/>
              </w:rPr>
            </w:pPr>
            <w:r>
              <w:rPr>
                <w:rFonts w:hint="eastAsia"/>
                <w:szCs w:val="21"/>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58C48562">
            <w:pPr>
              <w:adjustRightInd w:val="0"/>
              <w:snapToGrid w:val="0"/>
              <w:spacing w:line="300" w:lineRule="exact"/>
              <w:jc w:val="center"/>
              <w:rPr>
                <w:spacing w:val="20"/>
                <w:szCs w:val="21"/>
                <w:highlight w:val="none"/>
              </w:rPr>
            </w:pPr>
          </w:p>
        </w:tc>
      </w:tr>
      <w:tr w14:paraId="24C2AA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099013E">
            <w:pPr>
              <w:adjustRightInd w:val="0"/>
              <w:snapToGrid w:val="0"/>
              <w:spacing w:line="300" w:lineRule="exact"/>
              <w:jc w:val="center"/>
              <w:rPr>
                <w:szCs w:val="21"/>
                <w:highlight w:val="none"/>
              </w:rPr>
            </w:pPr>
            <w:r>
              <w:rPr>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6425386">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50DE847">
            <w:pPr>
              <w:adjustRightInd w:val="0"/>
              <w:snapToGrid w:val="0"/>
              <w:spacing w:line="300" w:lineRule="exact"/>
              <w:jc w:val="center"/>
              <w:rPr>
                <w:szCs w:val="21"/>
                <w:highlight w:val="none"/>
              </w:rPr>
            </w:pPr>
            <w:r>
              <w:rPr>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49AA8B3C">
            <w:pPr>
              <w:adjustRightInd w:val="0"/>
              <w:snapToGrid w:val="0"/>
              <w:spacing w:line="300" w:lineRule="exact"/>
              <w:jc w:val="center"/>
              <w:rPr>
                <w:spacing w:val="20"/>
                <w:szCs w:val="21"/>
                <w:highlight w:val="none"/>
              </w:rPr>
            </w:pPr>
          </w:p>
        </w:tc>
      </w:tr>
      <w:tr w14:paraId="75C765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2A20D79">
            <w:pPr>
              <w:adjustRightInd w:val="0"/>
              <w:snapToGrid w:val="0"/>
              <w:spacing w:line="300" w:lineRule="exact"/>
              <w:jc w:val="center"/>
              <w:rPr>
                <w:szCs w:val="21"/>
                <w:highlight w:val="none"/>
              </w:rPr>
            </w:pPr>
            <w:r>
              <w:rPr>
                <w:rFonts w:hint="eastAsia"/>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C0BCE49">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FA0AAA7">
            <w:pPr>
              <w:adjustRightInd w:val="0"/>
              <w:snapToGrid w:val="0"/>
              <w:spacing w:line="300" w:lineRule="exact"/>
              <w:jc w:val="center"/>
              <w:rPr>
                <w:szCs w:val="21"/>
                <w:highlight w:val="none"/>
              </w:rPr>
            </w:pPr>
            <w:r>
              <w:rPr>
                <w:rFonts w:hint="eastAsia"/>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7066D083">
            <w:pPr>
              <w:adjustRightInd w:val="0"/>
              <w:snapToGrid w:val="0"/>
              <w:spacing w:line="300" w:lineRule="exact"/>
              <w:jc w:val="center"/>
              <w:rPr>
                <w:spacing w:val="20"/>
                <w:szCs w:val="21"/>
                <w:highlight w:val="none"/>
              </w:rPr>
            </w:pPr>
          </w:p>
        </w:tc>
      </w:tr>
      <w:tr w14:paraId="06CDAC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A9E9291">
            <w:pPr>
              <w:adjustRightInd w:val="0"/>
              <w:snapToGrid w:val="0"/>
              <w:spacing w:line="300" w:lineRule="exact"/>
              <w:jc w:val="center"/>
              <w:rPr>
                <w:szCs w:val="21"/>
                <w:highlight w:val="none"/>
              </w:rPr>
            </w:pPr>
            <w:r>
              <w:rPr>
                <w:rFonts w:hint="eastAsia"/>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4B6325D">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F864A6E">
            <w:pPr>
              <w:adjustRightInd w:val="0"/>
              <w:snapToGrid w:val="0"/>
              <w:spacing w:line="300" w:lineRule="exact"/>
              <w:jc w:val="center"/>
              <w:rPr>
                <w:szCs w:val="21"/>
                <w:highlight w:val="none"/>
              </w:rPr>
            </w:pPr>
            <w:r>
              <w:rPr>
                <w:rFonts w:hint="eastAsia"/>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2C40DCF6">
            <w:pPr>
              <w:adjustRightInd w:val="0"/>
              <w:snapToGrid w:val="0"/>
              <w:spacing w:line="300" w:lineRule="exact"/>
              <w:jc w:val="center"/>
              <w:rPr>
                <w:spacing w:val="20"/>
                <w:szCs w:val="21"/>
                <w:highlight w:val="none"/>
              </w:rPr>
            </w:pPr>
          </w:p>
        </w:tc>
      </w:tr>
      <w:tr w14:paraId="4C7E48D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339435D">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A066C6D">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BDBBB59">
            <w:pPr>
              <w:adjustRightInd w:val="0"/>
              <w:snapToGrid w:val="0"/>
              <w:spacing w:line="300" w:lineRule="exact"/>
              <w:jc w:val="center"/>
              <w:rPr>
                <w:szCs w:val="21"/>
                <w:highlight w:val="none"/>
              </w:rPr>
            </w:pPr>
            <w:r>
              <w:rPr>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0546839A">
            <w:pPr>
              <w:adjustRightInd w:val="0"/>
              <w:snapToGrid w:val="0"/>
              <w:spacing w:line="300" w:lineRule="exact"/>
              <w:jc w:val="center"/>
              <w:rPr>
                <w:spacing w:val="20"/>
                <w:szCs w:val="21"/>
                <w:highlight w:val="none"/>
              </w:rPr>
            </w:pPr>
          </w:p>
        </w:tc>
      </w:tr>
      <w:tr w14:paraId="41D8713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B45C2D8">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19498AA">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5DBC8AD">
            <w:pPr>
              <w:adjustRightInd w:val="0"/>
              <w:snapToGrid w:val="0"/>
              <w:spacing w:line="300" w:lineRule="exact"/>
              <w:jc w:val="center"/>
              <w:rPr>
                <w:szCs w:val="21"/>
                <w:highlight w:val="none"/>
              </w:rPr>
            </w:pPr>
            <w:r>
              <w:rPr>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12FEF133">
            <w:pPr>
              <w:adjustRightInd w:val="0"/>
              <w:snapToGrid w:val="0"/>
              <w:spacing w:line="300" w:lineRule="exact"/>
              <w:jc w:val="center"/>
              <w:rPr>
                <w:spacing w:val="20"/>
                <w:szCs w:val="21"/>
                <w:highlight w:val="none"/>
              </w:rPr>
            </w:pPr>
          </w:p>
        </w:tc>
      </w:tr>
      <w:tr w14:paraId="46EF88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3B54C2D">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E78AF9F">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5BEB8BF">
            <w:pPr>
              <w:adjustRightInd w:val="0"/>
              <w:snapToGrid w:val="0"/>
              <w:spacing w:line="300" w:lineRule="exact"/>
              <w:jc w:val="center"/>
              <w:rPr>
                <w:szCs w:val="21"/>
                <w:highlight w:val="none"/>
              </w:rPr>
            </w:pPr>
            <w:r>
              <w:rPr>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1BFBB705">
            <w:pPr>
              <w:adjustRightInd w:val="0"/>
              <w:snapToGrid w:val="0"/>
              <w:spacing w:line="300" w:lineRule="exact"/>
              <w:jc w:val="center"/>
              <w:rPr>
                <w:spacing w:val="20"/>
                <w:szCs w:val="21"/>
                <w:highlight w:val="none"/>
              </w:rPr>
            </w:pPr>
          </w:p>
        </w:tc>
      </w:tr>
      <w:tr w14:paraId="310EC7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3F9BF546">
            <w:pPr>
              <w:pStyle w:val="18"/>
              <w:adjustRightInd w:val="0"/>
              <w:snapToGrid w:val="0"/>
              <w:spacing w:before="156" w:beforeLines="50" w:after="0" w:line="360" w:lineRule="auto"/>
              <w:ind w:left="0" w:leftChars="0"/>
              <w:jc w:val="left"/>
              <w:rPr>
                <w:spacing w:val="20"/>
                <w:szCs w:val="21"/>
                <w:highlight w:val="none"/>
              </w:rPr>
            </w:pPr>
            <w:r>
              <w:rPr>
                <w:rFonts w:hint="eastAsia" w:ascii="宋体" w:hAnsi="宋体"/>
                <w:szCs w:val="21"/>
                <w:highlight w:val="none"/>
              </w:rPr>
              <w:t>注：涉及联合体或其他合同主体的信息应按上表格式加列。</w:t>
            </w:r>
          </w:p>
        </w:tc>
      </w:tr>
    </w:tbl>
    <w:p w14:paraId="3B9FE213">
      <w:pPr>
        <w:pStyle w:val="5"/>
        <w:adjustRightInd w:val="0"/>
        <w:snapToGrid w:val="0"/>
        <w:spacing w:before="156" w:beforeLines="50"/>
        <w:jc w:val="center"/>
        <w:rPr>
          <w:rFonts w:ascii="黑体" w:hAnsi="黑体" w:eastAsia="黑体"/>
          <w:sz w:val="28"/>
          <w:szCs w:val="28"/>
          <w:highlight w:val="none"/>
        </w:rPr>
      </w:pPr>
      <w:bookmarkStart w:id="46" w:name="_Toc27624"/>
      <w:r>
        <w:rPr>
          <w:rFonts w:hint="eastAsia" w:ascii="黑体" w:hAnsi="黑体" w:eastAsia="黑体"/>
          <w:b w:val="0"/>
          <w:bCs w:val="0"/>
          <w:sz w:val="28"/>
          <w:szCs w:val="28"/>
          <w:highlight w:val="none"/>
        </w:rPr>
        <w:t>第二节 政府采购合同通用条款</w:t>
      </w:r>
      <w:bookmarkEnd w:id="46"/>
    </w:p>
    <w:p w14:paraId="5E560631">
      <w:pPr>
        <w:tabs>
          <w:tab w:val="left" w:pos="8820"/>
          <w:tab w:val="left" w:pos="9345"/>
          <w:tab w:val="left" w:pos="9765"/>
        </w:tabs>
        <w:adjustRightInd w:val="0"/>
        <w:snapToGrid w:val="0"/>
        <w:spacing w:before="0" w:line="400" w:lineRule="exact"/>
        <w:jc w:val="left"/>
        <w:rPr>
          <w:rFonts w:ascii="宋体" w:hAnsi="宋体"/>
          <w:b/>
          <w:bCs/>
          <w:sz w:val="24"/>
          <w:highlight w:val="none"/>
        </w:rPr>
      </w:pPr>
      <w:r>
        <w:rPr>
          <w:rFonts w:hint="eastAsia" w:ascii="宋体" w:hAnsi="宋体"/>
          <w:b/>
          <w:sz w:val="24"/>
          <w:highlight w:val="none"/>
        </w:rPr>
        <w:t>1.</w:t>
      </w:r>
      <w:r>
        <w:rPr>
          <w:rFonts w:hint="eastAsia" w:ascii="宋体" w:hAnsi="宋体"/>
          <w:b/>
          <w:sz w:val="24"/>
          <w:highlight w:val="none"/>
          <w:lang w:val="en-US" w:eastAsia="zh-CN"/>
        </w:rPr>
        <w:t xml:space="preserve"> </w:t>
      </w:r>
      <w:r>
        <w:rPr>
          <w:rFonts w:hint="eastAsia" w:ascii="宋体" w:hAnsi="宋体"/>
          <w:b/>
          <w:bCs/>
          <w:sz w:val="24"/>
          <w:highlight w:val="none"/>
        </w:rPr>
        <w:t>定义</w:t>
      </w:r>
    </w:p>
    <w:p w14:paraId="3D7E2B36">
      <w:pPr>
        <w:autoSpaceDE w:val="0"/>
        <w:autoSpaceDN w:val="0"/>
        <w:adjustRightInd w:val="0"/>
        <w:snapToGrid w:val="0"/>
        <w:spacing w:before="0" w:line="400" w:lineRule="exact"/>
        <w:ind w:firstLine="400" w:firstLineChars="200"/>
        <w:jc w:val="left"/>
        <w:rPr>
          <w:rFonts w:ascii="宋体" w:hAnsi="宋体"/>
          <w:color w:val="000000"/>
          <w:szCs w:val="21"/>
          <w:highlight w:val="none"/>
        </w:rPr>
      </w:pPr>
      <w:r>
        <w:rPr>
          <w:rFonts w:hint="eastAsia" w:ascii="宋体" w:hAnsi="宋体"/>
          <w:color w:val="000000"/>
          <w:szCs w:val="21"/>
          <w:highlight w:val="none"/>
        </w:rPr>
        <w:t>1.1合同当事人</w:t>
      </w:r>
    </w:p>
    <w:p w14:paraId="397290B8">
      <w:pPr>
        <w:autoSpaceDE w:val="0"/>
        <w:autoSpaceDN w:val="0"/>
        <w:adjustRightInd w:val="0"/>
        <w:snapToGrid w:val="0"/>
        <w:spacing w:before="0" w:line="400" w:lineRule="exact"/>
        <w:ind w:firstLine="40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46F36BF4">
      <w:pPr>
        <w:autoSpaceDE w:val="0"/>
        <w:autoSpaceDN w:val="0"/>
        <w:adjustRightInd w:val="0"/>
        <w:snapToGrid w:val="0"/>
        <w:spacing w:before="0" w:line="400" w:lineRule="exact"/>
        <w:ind w:firstLine="40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24962613">
      <w:pPr>
        <w:autoSpaceDE w:val="0"/>
        <w:autoSpaceDN w:val="0"/>
        <w:adjustRightInd w:val="0"/>
        <w:snapToGrid w:val="0"/>
        <w:spacing w:before="0" w:line="400" w:lineRule="exact"/>
        <w:ind w:firstLine="40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szCs w:val="21"/>
          <w:highlight w:val="none"/>
        </w:rPr>
        <w:t>依法参与合同缔结或履行，享有权利、承担义务的合同当事人</w:t>
      </w:r>
      <w:r>
        <w:rPr>
          <w:rFonts w:hint="eastAsia" w:ascii="宋体" w:hAnsi="宋体"/>
          <w:color w:val="auto"/>
          <w:szCs w:val="21"/>
          <w:highlight w:val="none"/>
        </w:rPr>
        <w:t>。</w:t>
      </w:r>
    </w:p>
    <w:p w14:paraId="79A54442">
      <w:pPr>
        <w:tabs>
          <w:tab w:val="left" w:pos="570"/>
          <w:tab w:val="left" w:pos="9240"/>
          <w:tab w:val="left" w:pos="9555"/>
        </w:tabs>
        <w:adjustRightInd w:val="0"/>
        <w:snapToGrid w:val="0"/>
        <w:spacing w:before="0" w:line="400" w:lineRule="exact"/>
        <w:ind w:firstLine="40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0B03A357">
      <w:pPr>
        <w:adjustRightInd w:val="0"/>
        <w:snapToGrid w:val="0"/>
        <w:spacing w:before="0" w:beforeLines="0" w:line="400" w:lineRule="exact"/>
        <w:ind w:firstLine="40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szCs w:val="21"/>
          <w:highlight w:val="none"/>
        </w:rPr>
        <w:t>合同当事人意思表示达成一致的任何协议，包括签署的</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r>
        <w:rPr>
          <w:rFonts w:hint="eastAsia" w:ascii="宋体" w:hAnsi="宋体"/>
          <w:szCs w:val="21"/>
          <w:highlight w:val="none"/>
        </w:rPr>
        <w:t>政府采购合同专用条款</w:t>
      </w:r>
      <w:r>
        <w:rPr>
          <w:rFonts w:hint="eastAsia" w:ascii="宋体" w:hAnsi="宋体"/>
          <w:szCs w:val="21"/>
          <w:highlight w:val="none"/>
          <w:lang w:eastAsia="zh-CN"/>
        </w:rPr>
        <w:t>，</w:t>
      </w:r>
      <w:r>
        <w:rPr>
          <w:rFonts w:hint="eastAsia" w:ascii="宋体" w:hAnsi="宋体"/>
          <w:szCs w:val="21"/>
          <w:highlight w:val="none"/>
        </w:rPr>
        <w:t>政府采购合同通用条款</w:t>
      </w:r>
      <w:r>
        <w:rPr>
          <w:rFonts w:hint="eastAsia" w:ascii="宋体" w:hAnsi="宋体"/>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szCs w:val="21"/>
          <w:highlight w:val="none"/>
        </w:rPr>
        <w:t>投标（响应）文件</w:t>
      </w:r>
      <w:r>
        <w:rPr>
          <w:rFonts w:hint="eastAsia" w:ascii="宋体" w:hAnsi="宋体"/>
          <w:szCs w:val="21"/>
          <w:highlight w:val="none"/>
          <w:lang w:eastAsia="zh-CN"/>
        </w:rPr>
        <w:t>，</w:t>
      </w:r>
      <w:r>
        <w:rPr>
          <w:rFonts w:hint="eastAsia" w:ascii="宋体" w:hAnsi="宋体"/>
          <w:szCs w:val="21"/>
          <w:highlight w:val="none"/>
        </w:rPr>
        <w:t>采购文件</w:t>
      </w:r>
      <w:r>
        <w:rPr>
          <w:rFonts w:hint="eastAsia" w:ascii="宋体" w:hAnsi="宋体"/>
          <w:szCs w:val="21"/>
          <w:highlight w:val="none"/>
          <w:lang w:eastAsia="zh-CN"/>
        </w:rPr>
        <w:t>，</w:t>
      </w:r>
      <w:r>
        <w:rPr>
          <w:rFonts w:hint="eastAsia" w:ascii="宋体" w:hAnsi="宋体"/>
          <w:szCs w:val="21"/>
          <w:highlight w:val="none"/>
        </w:rPr>
        <w:t>有关技术文件</w:t>
      </w:r>
      <w:r>
        <w:rPr>
          <w:rFonts w:hint="eastAsia" w:ascii="宋体" w:hAnsi="宋体"/>
          <w:szCs w:val="21"/>
          <w:highlight w:val="none"/>
          <w:lang w:eastAsia="zh-CN"/>
        </w:rPr>
        <w:t>和</w:t>
      </w:r>
      <w:r>
        <w:rPr>
          <w:rFonts w:hint="eastAsia" w:ascii="宋体" w:hAnsi="宋体"/>
          <w:szCs w:val="21"/>
          <w:highlight w:val="none"/>
        </w:rPr>
        <w:t>图纸</w:t>
      </w:r>
      <w:r>
        <w:rPr>
          <w:rFonts w:hint="eastAsia" w:ascii="宋体" w:hAnsi="宋体"/>
          <w:szCs w:val="21"/>
          <w:highlight w:val="none"/>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1640B0C9">
      <w:pPr>
        <w:tabs>
          <w:tab w:val="left" w:pos="570"/>
          <w:tab w:val="left" w:pos="9240"/>
          <w:tab w:val="left" w:pos="9555"/>
        </w:tabs>
        <w:adjustRightInd w:val="0"/>
        <w:snapToGrid w:val="0"/>
        <w:spacing w:before="0" w:line="400" w:lineRule="exact"/>
        <w:ind w:firstLine="40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34174F17">
      <w:pPr>
        <w:tabs>
          <w:tab w:val="left" w:pos="570"/>
          <w:tab w:val="left" w:pos="9240"/>
          <w:tab w:val="left" w:pos="9555"/>
        </w:tabs>
        <w:adjustRightInd w:val="0"/>
        <w:snapToGrid w:val="0"/>
        <w:spacing w:before="0" w:line="400" w:lineRule="exact"/>
        <w:ind w:firstLine="400" w:firstLineChars="200"/>
        <w:jc w:val="left"/>
        <w:rPr>
          <w:rFonts w:hint="eastAsia" w:ascii="宋体" w:hAnsi="宋体" w:eastAsia="宋体"/>
          <w:color w:val="000000"/>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szCs w:val="21"/>
          <w:highlight w:val="none"/>
        </w:rPr>
        <w:t>包括软件）及相关的其备品备件、工具、手册及</w:t>
      </w:r>
      <w:r>
        <w:rPr>
          <w:rFonts w:hint="default" w:ascii="宋体" w:hAnsi="宋体"/>
          <w:color w:val="000000"/>
          <w:szCs w:val="21"/>
          <w:highlight w:val="none"/>
          <w:lang w:val="en"/>
        </w:rPr>
        <w:t>其他</w:t>
      </w:r>
      <w:r>
        <w:rPr>
          <w:rFonts w:hint="eastAsia" w:ascii="宋体" w:hAnsi="宋体"/>
          <w:color w:val="000000"/>
          <w:szCs w:val="21"/>
          <w:highlight w:val="none"/>
        </w:rPr>
        <w:t>技术资料和材料</w:t>
      </w:r>
      <w:r>
        <w:rPr>
          <w:rFonts w:hint="eastAsia" w:ascii="宋体" w:hAnsi="宋体"/>
          <w:color w:val="000000"/>
          <w:szCs w:val="21"/>
          <w:highlight w:val="none"/>
          <w:lang w:eastAsia="zh-CN"/>
        </w:rPr>
        <w:t>等</w:t>
      </w:r>
      <w:r>
        <w:rPr>
          <w:rFonts w:hint="eastAsia" w:ascii="宋体" w:hAnsi="宋体"/>
          <w:color w:val="000000"/>
          <w:szCs w:val="21"/>
          <w:highlight w:val="none"/>
        </w:rPr>
        <w:t>。</w:t>
      </w:r>
    </w:p>
    <w:p w14:paraId="2C997D2C">
      <w:pPr>
        <w:adjustRightInd w:val="0"/>
        <w:snapToGrid w:val="0"/>
        <w:spacing w:before="0" w:line="400" w:lineRule="exact"/>
        <w:ind w:firstLine="400" w:firstLineChars="200"/>
        <w:jc w:val="left"/>
        <w:rPr>
          <w:rFonts w:hint="eastAsia" w:ascii="宋体" w:hAnsi="宋体" w:eastAsia="宋体"/>
          <w:color w:val="000000"/>
          <w:szCs w:val="21"/>
          <w:highlight w:val="none"/>
          <w:lang w:eastAsia="zh-CN"/>
        </w:rPr>
      </w:pPr>
      <w:r>
        <w:rPr>
          <w:rFonts w:hint="eastAsia" w:ascii="宋体" w:hAnsi="宋体"/>
          <w:color w:val="000000"/>
          <w:szCs w:val="21"/>
          <w:highlight w:val="none"/>
        </w:rPr>
        <w:t>（</w:t>
      </w:r>
      <w:r>
        <w:rPr>
          <w:rFonts w:hint="eastAsia" w:ascii="宋体" w:hAnsi="宋体"/>
          <w:color w:val="000000"/>
          <w:szCs w:val="21"/>
          <w:highlight w:val="none"/>
          <w:lang w:val="en-US" w:eastAsia="zh-CN"/>
        </w:rPr>
        <w:t>4</w:t>
      </w:r>
      <w:r>
        <w:rPr>
          <w:rFonts w:hint="eastAsia" w:ascii="宋体" w:hAnsi="宋体"/>
          <w:color w:val="000000"/>
          <w:szCs w:val="21"/>
          <w:highlight w:val="none"/>
        </w:rPr>
        <w:t>）“</w:t>
      </w:r>
      <w:r>
        <w:rPr>
          <w:rFonts w:hint="eastAsia" w:ascii="宋体" w:hAnsi="宋体"/>
          <w:color w:val="auto"/>
          <w:szCs w:val="21"/>
          <w:highlight w:val="none"/>
          <w:lang w:val="en-US" w:eastAsia="zh-CN"/>
        </w:rPr>
        <w:t>相关</w:t>
      </w:r>
      <w:r>
        <w:rPr>
          <w:rFonts w:hint="eastAsia" w:ascii="宋体" w:hAnsi="宋体"/>
          <w:color w:val="000000"/>
          <w:szCs w:val="21"/>
          <w:highlight w:val="none"/>
        </w:rPr>
        <w:t>服务”系指根据合同规定，乙方应提供的</w:t>
      </w:r>
      <w:r>
        <w:rPr>
          <w:rFonts w:hint="eastAsia" w:ascii="宋体" w:hAnsi="宋体"/>
          <w:color w:val="000000"/>
          <w:szCs w:val="21"/>
          <w:highlight w:val="none"/>
          <w:lang w:val="en-US" w:eastAsia="zh-CN"/>
        </w:rPr>
        <w:t>与货物有关的</w:t>
      </w:r>
      <w:r>
        <w:rPr>
          <w:rFonts w:hint="eastAsia" w:ascii="宋体" w:hAnsi="宋体"/>
          <w:color w:val="000000"/>
          <w:szCs w:val="21"/>
          <w:highlight w:val="none"/>
        </w:rPr>
        <w:t>技术、管理和</w:t>
      </w:r>
      <w:r>
        <w:rPr>
          <w:rFonts w:hint="default" w:ascii="宋体" w:hAnsi="宋体"/>
          <w:color w:val="000000"/>
          <w:szCs w:val="21"/>
          <w:highlight w:val="none"/>
          <w:lang w:val="en"/>
        </w:rPr>
        <w:t>其他</w:t>
      </w:r>
      <w:r>
        <w:rPr>
          <w:rFonts w:hint="eastAsia" w:ascii="宋体" w:hAnsi="宋体"/>
          <w:color w:val="000000"/>
          <w:szCs w:val="21"/>
          <w:highlight w:val="none"/>
        </w:rPr>
        <w:t>服务，包括但不限于：管理和质量保证、运输、保险、检验、现场准备、安装、集成、调试、培训、维修、</w:t>
      </w:r>
      <w:r>
        <w:rPr>
          <w:rFonts w:hint="eastAsia" w:ascii="宋体" w:hAnsi="宋体"/>
          <w:color w:val="000000"/>
          <w:szCs w:val="21"/>
          <w:highlight w:val="none"/>
          <w:lang w:eastAsia="zh-CN"/>
        </w:rPr>
        <w:t>废弃处置、</w:t>
      </w:r>
      <w:r>
        <w:rPr>
          <w:rFonts w:hint="eastAsia" w:ascii="宋体" w:hAnsi="宋体"/>
          <w:color w:val="000000"/>
          <w:szCs w:val="21"/>
          <w:highlight w:val="none"/>
        </w:rPr>
        <w:t>技术支持等以及合同中规定乙方应承担的</w:t>
      </w:r>
      <w:r>
        <w:rPr>
          <w:rFonts w:hint="default" w:ascii="宋体" w:hAnsi="宋体"/>
          <w:color w:val="000000"/>
          <w:szCs w:val="21"/>
          <w:highlight w:val="none"/>
          <w:lang w:val="en"/>
        </w:rPr>
        <w:t>其他</w:t>
      </w:r>
      <w:r>
        <w:rPr>
          <w:rFonts w:hint="eastAsia" w:ascii="宋体" w:hAnsi="宋体"/>
          <w:color w:val="000000"/>
          <w:szCs w:val="21"/>
          <w:highlight w:val="none"/>
        </w:rPr>
        <w:t>义务。</w:t>
      </w:r>
    </w:p>
    <w:p w14:paraId="4CC793B0">
      <w:pPr>
        <w:adjustRightInd w:val="0"/>
        <w:snapToGrid w:val="0"/>
        <w:spacing w:before="0" w:line="400" w:lineRule="exact"/>
        <w:ind w:firstLine="400" w:firstLineChars="200"/>
        <w:jc w:val="left"/>
        <w:rPr>
          <w:rFonts w:hint="eastAsia" w:ascii="宋体" w:hAnsi="宋体" w:eastAsia="宋体"/>
          <w:color w:val="000000"/>
          <w:szCs w:val="21"/>
          <w:highlight w:val="none"/>
          <w:lang w:eastAsia="zh-CN"/>
        </w:rPr>
      </w:pPr>
      <w:r>
        <w:rPr>
          <w:rFonts w:hint="eastAsia" w:ascii="宋体" w:hAnsi="宋体"/>
          <w:color w:val="000000"/>
          <w:szCs w:val="21"/>
          <w:highlight w:val="none"/>
        </w:rPr>
        <w:t>（</w:t>
      </w:r>
      <w:r>
        <w:rPr>
          <w:rFonts w:hint="eastAsia" w:ascii="宋体" w:hAnsi="宋体"/>
          <w:color w:val="000000"/>
          <w:szCs w:val="21"/>
          <w:highlight w:val="none"/>
          <w:lang w:val="en-US" w:eastAsia="zh-CN"/>
        </w:rPr>
        <w:t>5</w:t>
      </w:r>
      <w:r>
        <w:rPr>
          <w:rFonts w:hint="eastAsia" w:ascii="宋体" w:hAnsi="宋体"/>
          <w:color w:val="000000"/>
          <w:szCs w:val="21"/>
          <w:highlight w:val="none"/>
        </w:rPr>
        <w:t>）“分包”系指中标</w:t>
      </w:r>
      <w:r>
        <w:rPr>
          <w:rFonts w:hint="eastAsia" w:ascii="宋体" w:hAnsi="宋体"/>
          <w:color w:val="000000"/>
          <w:szCs w:val="21"/>
          <w:highlight w:val="none"/>
          <w:lang w:eastAsia="zh-CN"/>
        </w:rPr>
        <w:t>（</w:t>
      </w:r>
      <w:r>
        <w:rPr>
          <w:rFonts w:hint="eastAsia" w:ascii="宋体" w:hAnsi="宋体"/>
          <w:color w:val="000000"/>
          <w:szCs w:val="21"/>
          <w:highlight w:val="none"/>
        </w:rPr>
        <w:t>成交</w:t>
      </w:r>
      <w:r>
        <w:rPr>
          <w:rFonts w:hint="eastAsia" w:ascii="宋体" w:hAnsi="宋体"/>
          <w:color w:val="000000"/>
          <w:szCs w:val="21"/>
          <w:highlight w:val="none"/>
          <w:lang w:eastAsia="zh-CN"/>
        </w:rPr>
        <w:t>）</w:t>
      </w:r>
      <w:r>
        <w:rPr>
          <w:rFonts w:hint="eastAsia" w:ascii="宋体" w:hAnsi="宋体"/>
          <w:color w:val="000000"/>
          <w:szCs w:val="21"/>
          <w:highlight w:val="none"/>
        </w:rPr>
        <w:t>供应商按采购文件、投标（响应）文件的规定，根据分包意向协议，将中标</w:t>
      </w:r>
      <w:r>
        <w:rPr>
          <w:rFonts w:hint="eastAsia" w:ascii="宋体" w:hAnsi="宋体"/>
          <w:color w:val="000000"/>
          <w:szCs w:val="21"/>
          <w:highlight w:val="none"/>
          <w:lang w:eastAsia="zh-CN"/>
        </w:rPr>
        <w:t>（</w:t>
      </w:r>
      <w:r>
        <w:rPr>
          <w:rFonts w:hint="eastAsia" w:ascii="宋体" w:hAnsi="宋体"/>
          <w:color w:val="000000"/>
          <w:szCs w:val="21"/>
          <w:highlight w:val="none"/>
        </w:rPr>
        <w:t>成交</w:t>
      </w:r>
      <w:r>
        <w:rPr>
          <w:rFonts w:hint="eastAsia" w:ascii="宋体" w:hAnsi="宋体"/>
          <w:color w:val="000000"/>
          <w:szCs w:val="21"/>
          <w:highlight w:val="none"/>
          <w:lang w:eastAsia="zh-CN"/>
        </w:rPr>
        <w:t>）</w:t>
      </w:r>
      <w:r>
        <w:rPr>
          <w:rFonts w:hint="eastAsia" w:ascii="宋体" w:hAnsi="宋体"/>
          <w:color w:val="000000"/>
          <w:szCs w:val="21"/>
          <w:highlight w:val="none"/>
        </w:rPr>
        <w:t>项目中的部分履约内容，分给具有相应资质条件的供应商履行合同的行为。</w:t>
      </w:r>
    </w:p>
    <w:p w14:paraId="632F19B7">
      <w:pPr>
        <w:tabs>
          <w:tab w:val="left" w:pos="570"/>
          <w:tab w:val="left" w:pos="9240"/>
          <w:tab w:val="left" w:pos="9555"/>
        </w:tabs>
        <w:adjustRightInd w:val="0"/>
        <w:snapToGrid w:val="0"/>
        <w:spacing w:before="0" w:line="400" w:lineRule="exact"/>
        <w:ind w:firstLine="400" w:firstLineChars="200"/>
        <w:jc w:val="left"/>
        <w:rPr>
          <w:rFonts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6</w:t>
      </w:r>
      <w:r>
        <w:rPr>
          <w:rFonts w:hint="eastAsia" w:ascii="宋体" w:hAnsi="宋体"/>
          <w:color w:val="000000"/>
          <w:szCs w:val="21"/>
          <w:highlight w:val="none"/>
        </w:rPr>
        <w:t>）</w:t>
      </w:r>
      <w:r>
        <w:rPr>
          <w:rFonts w:hint="eastAsia" w:ascii="宋体" w:hAnsi="宋体"/>
          <w:szCs w:val="21"/>
          <w:highlight w:val="none"/>
        </w:rPr>
        <w:t>“联合体”系指</w:t>
      </w:r>
      <w:r>
        <w:rPr>
          <w:rFonts w:hint="eastAsia" w:ascii="宋体" w:hAnsi="宋体"/>
          <w:szCs w:val="21"/>
          <w:highlight w:val="none"/>
          <w:lang w:eastAsia="zh-CN"/>
        </w:rPr>
        <w:t>由</w:t>
      </w:r>
      <w:r>
        <w:rPr>
          <w:rFonts w:hint="eastAsia" w:ascii="宋体" w:hAnsi="宋体"/>
          <w:szCs w:val="21"/>
          <w:highlight w:val="none"/>
        </w:rPr>
        <w:t>两个以上的自然人、法人或者</w:t>
      </w:r>
      <w:r>
        <w:rPr>
          <w:rFonts w:hint="eastAsia" w:ascii="宋体" w:hAnsi="宋体"/>
          <w:szCs w:val="21"/>
          <w:highlight w:val="none"/>
          <w:lang w:val="en-US" w:eastAsia="zh-CN"/>
        </w:rPr>
        <w:t>非法人</w:t>
      </w:r>
      <w:r>
        <w:rPr>
          <w:rFonts w:hint="eastAsia" w:ascii="宋体" w:hAnsi="宋体"/>
          <w:szCs w:val="21"/>
          <w:highlight w:val="none"/>
        </w:rPr>
        <w:t>组织组成，</w:t>
      </w:r>
      <w:r>
        <w:rPr>
          <w:rFonts w:hint="eastAsia" w:ascii="宋体" w:hAnsi="宋体"/>
          <w:szCs w:val="21"/>
          <w:highlight w:val="none"/>
          <w:lang w:eastAsia="zh-CN"/>
        </w:rPr>
        <w:t>以一个供应商的身份共同参加政府采购的主体</w:t>
      </w:r>
      <w:r>
        <w:rPr>
          <w:rFonts w:hint="eastAsia" w:ascii="宋体" w:hAnsi="宋体"/>
          <w:color w:val="000000"/>
          <w:szCs w:val="21"/>
          <w:highlight w:val="none"/>
          <w:lang w:eastAsia="zh-CN"/>
        </w:rPr>
        <w:t>。</w:t>
      </w:r>
      <w:r>
        <w:rPr>
          <w:rFonts w:hint="eastAsia" w:ascii="宋体" w:hAnsi="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szCs w:val="21"/>
          <w:highlight w:val="none"/>
          <w:lang w:eastAsia="zh-CN"/>
        </w:rPr>
        <w:t>甲方</w:t>
      </w:r>
      <w:r>
        <w:rPr>
          <w:rFonts w:hint="eastAsia" w:ascii="宋体" w:hAnsi="宋体"/>
          <w:color w:val="000000"/>
          <w:szCs w:val="21"/>
          <w:highlight w:val="none"/>
        </w:rPr>
        <w:t>承担连带责任。联合体具体要求见【</w:t>
      </w:r>
      <w:r>
        <w:rPr>
          <w:rFonts w:hint="eastAsia" w:ascii="宋体" w:hAnsi="宋体"/>
          <w:b/>
          <w:bCs/>
          <w:color w:val="000000"/>
          <w:szCs w:val="21"/>
          <w:highlight w:val="none"/>
        </w:rPr>
        <w:t>政府采购合同专用条款</w:t>
      </w:r>
      <w:r>
        <w:rPr>
          <w:rFonts w:hint="eastAsia" w:ascii="宋体" w:hAnsi="宋体"/>
          <w:color w:val="000000"/>
          <w:szCs w:val="21"/>
          <w:highlight w:val="none"/>
        </w:rPr>
        <w:t>】。</w:t>
      </w:r>
    </w:p>
    <w:p w14:paraId="74AD1FDA">
      <w:pPr>
        <w:tabs>
          <w:tab w:val="left" w:pos="570"/>
          <w:tab w:val="left" w:pos="9240"/>
          <w:tab w:val="left" w:pos="9555"/>
        </w:tabs>
        <w:adjustRightInd w:val="0"/>
        <w:snapToGrid w:val="0"/>
        <w:spacing w:before="0" w:line="400" w:lineRule="exact"/>
        <w:ind w:firstLine="400" w:firstLineChars="200"/>
        <w:jc w:val="left"/>
        <w:rPr>
          <w:rFonts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7</w:t>
      </w:r>
      <w:r>
        <w:rPr>
          <w:rFonts w:hint="eastAsia" w:ascii="宋体" w:hAnsi="宋体"/>
          <w:color w:val="000000"/>
          <w:szCs w:val="21"/>
          <w:highlight w:val="none"/>
        </w:rPr>
        <w:t>）其他术语解释，见【</w:t>
      </w:r>
      <w:r>
        <w:rPr>
          <w:rFonts w:hint="eastAsia" w:ascii="宋体" w:hAnsi="宋体"/>
          <w:b/>
          <w:bCs/>
          <w:color w:val="000000"/>
          <w:szCs w:val="21"/>
          <w:highlight w:val="none"/>
        </w:rPr>
        <w:t>政府采购合同专用条款</w:t>
      </w:r>
      <w:r>
        <w:rPr>
          <w:rFonts w:hint="eastAsia" w:ascii="宋体" w:hAnsi="宋体"/>
          <w:color w:val="000000"/>
          <w:szCs w:val="21"/>
          <w:highlight w:val="none"/>
        </w:rPr>
        <w:t>】。</w:t>
      </w:r>
    </w:p>
    <w:p w14:paraId="3CD52D03">
      <w:pPr>
        <w:numPr>
          <w:ilvl w:val="0"/>
          <w:numId w:val="5"/>
        </w:numPr>
        <w:autoSpaceDE w:val="0"/>
        <w:autoSpaceDN w:val="0"/>
        <w:adjustRightInd w:val="0"/>
        <w:snapToGrid w:val="0"/>
        <w:spacing w:before="0" w:line="400" w:lineRule="exact"/>
        <w:jc w:val="left"/>
        <w:rPr>
          <w:rFonts w:ascii="宋体" w:hAnsi="宋体"/>
          <w:b/>
          <w:bCs/>
          <w:color w:val="000000"/>
          <w:sz w:val="24"/>
          <w:highlight w:val="none"/>
        </w:rPr>
      </w:pPr>
      <w:r>
        <w:rPr>
          <w:rFonts w:hint="eastAsia" w:ascii="宋体" w:hAnsi="宋体"/>
          <w:b/>
          <w:color w:val="000000"/>
          <w:sz w:val="24"/>
          <w:highlight w:val="none"/>
        </w:rPr>
        <w:t>合同标的及金额</w:t>
      </w:r>
    </w:p>
    <w:p w14:paraId="69393B11">
      <w:pPr>
        <w:autoSpaceDE w:val="0"/>
        <w:autoSpaceDN w:val="0"/>
        <w:adjustRightInd w:val="0"/>
        <w:snapToGrid w:val="0"/>
        <w:spacing w:before="0" w:line="400" w:lineRule="exact"/>
        <w:ind w:firstLine="400" w:firstLineChars="200"/>
        <w:jc w:val="left"/>
        <w:rPr>
          <w:rFonts w:ascii="宋体" w:hAnsi="宋体"/>
          <w:b/>
          <w:bCs/>
          <w:i/>
          <w:iCs/>
          <w:color w:val="000000"/>
          <w:szCs w:val="21"/>
          <w:highlight w:val="none"/>
        </w:rPr>
      </w:pPr>
      <w:r>
        <w:rPr>
          <w:rFonts w:hint="eastAsia" w:ascii="宋体" w:hAnsi="宋体"/>
          <w:color w:val="000000"/>
          <w:szCs w:val="21"/>
          <w:highlight w:val="none"/>
          <w:lang w:eastAsia="zh-CN"/>
        </w:rPr>
        <w:t>2</w:t>
      </w:r>
      <w:r>
        <w:rPr>
          <w:rFonts w:hint="eastAsia" w:ascii="宋体" w:hAnsi="宋体"/>
          <w:color w:val="000000"/>
          <w:szCs w:val="21"/>
          <w:highlight w:val="none"/>
        </w:rPr>
        <w:t>.1 合同标的及金额应与中标（成交）结果一致。乙方为履行本合同而发生的所有费用均应包含在合同</w:t>
      </w:r>
      <w:r>
        <w:rPr>
          <w:rFonts w:hint="eastAsia" w:ascii="宋体" w:hAnsi="宋体"/>
          <w:color w:val="000000"/>
          <w:szCs w:val="21"/>
          <w:highlight w:val="none"/>
          <w:lang w:eastAsia="zh-CN"/>
        </w:rPr>
        <w:t>价款</w:t>
      </w:r>
      <w:r>
        <w:rPr>
          <w:rFonts w:hint="eastAsia" w:ascii="宋体" w:hAnsi="宋体"/>
          <w:color w:val="000000"/>
          <w:szCs w:val="21"/>
          <w:highlight w:val="none"/>
        </w:rPr>
        <w:t>中，甲方不再另行支付</w:t>
      </w:r>
      <w:r>
        <w:rPr>
          <w:rFonts w:hint="default" w:ascii="宋体" w:hAnsi="宋体"/>
          <w:color w:val="000000"/>
          <w:szCs w:val="21"/>
          <w:highlight w:val="none"/>
          <w:lang w:val="en"/>
        </w:rPr>
        <w:t>其他</w:t>
      </w:r>
      <w:r>
        <w:rPr>
          <w:rFonts w:hint="eastAsia" w:ascii="宋体" w:hAnsi="宋体"/>
          <w:color w:val="000000"/>
          <w:szCs w:val="21"/>
          <w:highlight w:val="none"/>
        </w:rPr>
        <w:t>任何费用。</w:t>
      </w:r>
    </w:p>
    <w:p w14:paraId="0DCC13F8">
      <w:pPr>
        <w:adjustRightInd w:val="0"/>
        <w:snapToGrid w:val="0"/>
        <w:spacing w:before="0" w:line="400" w:lineRule="exact"/>
        <w:jc w:val="left"/>
        <w:rPr>
          <w:rFonts w:ascii="宋体" w:hAnsi="宋体"/>
          <w:b/>
          <w:color w:val="000000"/>
          <w:sz w:val="24"/>
          <w:highlight w:val="none"/>
        </w:rPr>
      </w:pPr>
      <w:r>
        <w:rPr>
          <w:rFonts w:hint="eastAsia" w:ascii="宋体" w:hAnsi="宋体"/>
          <w:b/>
          <w:color w:val="000000"/>
          <w:sz w:val="24"/>
          <w:highlight w:val="none"/>
          <w:lang w:eastAsia="zh-CN"/>
        </w:rPr>
        <w:t>3</w:t>
      </w:r>
      <w:r>
        <w:rPr>
          <w:rFonts w:hint="eastAsia" w:ascii="宋体" w:hAnsi="宋体"/>
          <w:b/>
          <w:color w:val="000000"/>
          <w:sz w:val="24"/>
          <w:highlight w:val="none"/>
          <w:lang w:val="en-US" w:eastAsia="zh-CN"/>
        </w:rPr>
        <w:t xml:space="preserve">. </w:t>
      </w:r>
      <w:r>
        <w:rPr>
          <w:rFonts w:hint="eastAsia" w:ascii="宋体" w:hAnsi="宋体"/>
          <w:b/>
          <w:color w:val="000000"/>
          <w:sz w:val="24"/>
          <w:highlight w:val="none"/>
        </w:rPr>
        <w:t>履行合同的时间、地点和方式</w:t>
      </w:r>
    </w:p>
    <w:p w14:paraId="22749D13">
      <w:pPr>
        <w:autoSpaceDE w:val="0"/>
        <w:autoSpaceDN w:val="0"/>
        <w:adjustRightInd w:val="0"/>
        <w:snapToGrid w:val="0"/>
        <w:spacing w:before="0" w:line="400" w:lineRule="exact"/>
        <w:ind w:firstLine="400" w:firstLineChars="200"/>
        <w:jc w:val="left"/>
        <w:rPr>
          <w:rFonts w:ascii="宋体" w:hAnsi="宋体"/>
          <w:color w:val="000000"/>
          <w:szCs w:val="21"/>
          <w:highlight w:val="none"/>
        </w:rPr>
      </w:pPr>
      <w:r>
        <w:rPr>
          <w:rFonts w:hint="eastAsia" w:ascii="宋体" w:hAnsi="宋体"/>
          <w:color w:val="000000"/>
          <w:szCs w:val="21"/>
          <w:highlight w:val="none"/>
          <w:lang w:eastAsia="zh-CN"/>
        </w:rPr>
        <w:t>3</w:t>
      </w:r>
      <w:r>
        <w:rPr>
          <w:rFonts w:hint="eastAsia" w:ascii="宋体" w:hAnsi="宋体"/>
          <w:color w:val="000000"/>
          <w:szCs w:val="21"/>
          <w:highlight w:val="none"/>
        </w:rPr>
        <w:t xml:space="preserve">.1 </w:t>
      </w:r>
      <w:r>
        <w:rPr>
          <w:rFonts w:hint="eastAsia" w:ascii="宋体" w:hAnsi="宋体" w:eastAsia="宋体" w:cs="宋体"/>
          <w:szCs w:val="21"/>
          <w:highlight w:val="none"/>
        </w:rPr>
        <w:t>乙方应当在约定的时间、地点</w:t>
      </w:r>
      <w:r>
        <w:rPr>
          <w:rFonts w:hint="eastAsia" w:ascii="宋体" w:hAnsi="宋体" w:cs="宋体"/>
          <w:szCs w:val="21"/>
          <w:highlight w:val="none"/>
          <w:lang w:eastAsia="zh-CN"/>
        </w:rPr>
        <w:t>，按照约定</w:t>
      </w:r>
      <w:r>
        <w:rPr>
          <w:rFonts w:hint="eastAsia" w:ascii="宋体" w:hAnsi="宋体" w:eastAsia="宋体" w:cs="宋体"/>
          <w:szCs w:val="21"/>
          <w:highlight w:val="none"/>
        </w:rPr>
        <w:t>方式履行合同。</w:t>
      </w:r>
    </w:p>
    <w:p w14:paraId="21E6F319">
      <w:pPr>
        <w:autoSpaceDE w:val="0"/>
        <w:autoSpaceDN w:val="0"/>
        <w:adjustRightInd w:val="0"/>
        <w:snapToGrid w:val="0"/>
        <w:spacing w:before="0" w:line="400" w:lineRule="exact"/>
        <w:jc w:val="left"/>
        <w:rPr>
          <w:rFonts w:ascii="宋体" w:hAnsi="宋体"/>
          <w:b/>
          <w:bCs/>
          <w:color w:val="000000"/>
          <w:sz w:val="24"/>
          <w:highlight w:val="none"/>
        </w:rPr>
      </w:pPr>
      <w:r>
        <w:rPr>
          <w:rFonts w:hint="eastAsia" w:ascii="宋体" w:hAnsi="宋体"/>
          <w:b/>
          <w:bCs/>
          <w:color w:val="000000"/>
          <w:sz w:val="24"/>
          <w:highlight w:val="none"/>
          <w:lang w:eastAsia="zh-CN"/>
        </w:rPr>
        <w:t>4</w:t>
      </w:r>
      <w:r>
        <w:rPr>
          <w:rFonts w:hint="eastAsia" w:ascii="宋体" w:hAnsi="宋体"/>
          <w:b/>
          <w:bCs/>
          <w:color w:val="000000"/>
          <w:sz w:val="24"/>
          <w:highlight w:val="none"/>
          <w:lang w:val="en-US" w:eastAsia="zh-CN"/>
        </w:rPr>
        <w:t xml:space="preserve">. </w:t>
      </w:r>
      <w:r>
        <w:rPr>
          <w:rFonts w:hint="eastAsia" w:ascii="宋体" w:hAnsi="宋体"/>
          <w:b/>
          <w:bCs/>
          <w:color w:val="000000"/>
          <w:sz w:val="24"/>
          <w:highlight w:val="none"/>
        </w:rPr>
        <w:t>甲方的权利和义务</w:t>
      </w:r>
    </w:p>
    <w:p w14:paraId="31AD19E9">
      <w:pPr>
        <w:autoSpaceDE w:val="0"/>
        <w:autoSpaceDN w:val="0"/>
        <w:adjustRightInd w:val="0"/>
        <w:snapToGrid w:val="0"/>
        <w:spacing w:before="0" w:line="400" w:lineRule="exact"/>
        <w:ind w:firstLine="400" w:firstLineChars="200"/>
        <w:jc w:val="left"/>
        <w:rPr>
          <w:rFonts w:ascii="宋体" w:hAnsi="宋体"/>
          <w:color w:val="000000"/>
          <w:szCs w:val="21"/>
          <w:highlight w:val="none"/>
        </w:rPr>
      </w:pPr>
      <w:r>
        <w:rPr>
          <w:rFonts w:hint="eastAsia" w:ascii="宋体" w:hAnsi="宋体"/>
          <w:color w:val="000000"/>
          <w:szCs w:val="21"/>
          <w:highlight w:val="none"/>
          <w:lang w:eastAsia="zh-CN"/>
        </w:rPr>
        <w:t>4</w:t>
      </w:r>
      <w:r>
        <w:rPr>
          <w:rFonts w:hint="eastAsia" w:ascii="宋体" w:hAnsi="宋体"/>
          <w:color w:val="000000"/>
          <w:szCs w:val="21"/>
          <w:highlight w:val="none"/>
        </w:rPr>
        <w:t>.1</w:t>
      </w:r>
      <w:r>
        <w:rPr>
          <w:rFonts w:ascii="宋体" w:hAnsi="宋体"/>
          <w:color w:val="000000"/>
          <w:szCs w:val="21"/>
          <w:highlight w:val="none"/>
        </w:rPr>
        <w:t xml:space="preserve"> 签署合同后，甲方</w:t>
      </w:r>
      <w:r>
        <w:rPr>
          <w:rFonts w:hint="eastAsia" w:ascii="宋体" w:hAnsi="宋体"/>
          <w:color w:val="000000"/>
          <w:szCs w:val="21"/>
          <w:highlight w:val="none"/>
          <w:lang w:eastAsia="zh-CN"/>
        </w:rPr>
        <w:t>应</w:t>
      </w:r>
      <w:r>
        <w:rPr>
          <w:rFonts w:ascii="宋体" w:hAnsi="宋体"/>
          <w:color w:val="000000"/>
          <w:szCs w:val="21"/>
          <w:highlight w:val="none"/>
        </w:rPr>
        <w:t>确定</w:t>
      </w:r>
      <w:r>
        <w:rPr>
          <w:rFonts w:hint="eastAsia" w:ascii="宋体" w:hAnsi="宋体"/>
          <w:color w:val="000000"/>
          <w:szCs w:val="21"/>
          <w:highlight w:val="none"/>
          <w:lang w:val="en-US" w:eastAsia="zh-CN"/>
        </w:rPr>
        <w:t>项目负责人（或项目联系人）</w:t>
      </w:r>
      <w:r>
        <w:rPr>
          <w:rFonts w:ascii="宋体" w:hAnsi="宋体"/>
          <w:color w:val="000000"/>
          <w:szCs w:val="21"/>
          <w:highlight w:val="none"/>
        </w:rPr>
        <w:t>，负责与本合同有关的事务。</w:t>
      </w:r>
      <w:r>
        <w:rPr>
          <w:rFonts w:hint="eastAsia" w:ascii="宋体" w:hAnsi="宋体"/>
          <w:color w:val="000000"/>
          <w:szCs w:val="21"/>
          <w:highlight w:val="none"/>
        </w:rPr>
        <w:t>甲方有权对乙方的履约行为进行检查，并</w:t>
      </w:r>
      <w:r>
        <w:rPr>
          <w:rFonts w:ascii="宋体" w:hAnsi="宋体"/>
          <w:color w:val="000000"/>
          <w:szCs w:val="21"/>
          <w:highlight w:val="none"/>
        </w:rPr>
        <w:t>及时确认乙方提交的事项</w:t>
      </w:r>
      <w:r>
        <w:rPr>
          <w:rFonts w:hint="eastAsia" w:ascii="宋体" w:hAnsi="宋体"/>
          <w:color w:val="000000"/>
          <w:szCs w:val="21"/>
          <w:highlight w:val="none"/>
        </w:rPr>
        <w:t>。甲方应当</w:t>
      </w:r>
      <w:r>
        <w:rPr>
          <w:rFonts w:ascii="宋体" w:hAnsi="宋体"/>
          <w:color w:val="000000"/>
          <w:szCs w:val="21"/>
          <w:highlight w:val="none"/>
        </w:rPr>
        <w:t>配合乙方完成</w:t>
      </w:r>
      <w:r>
        <w:rPr>
          <w:rFonts w:hint="eastAsia" w:ascii="宋体" w:hAnsi="宋体"/>
          <w:color w:val="000000"/>
          <w:szCs w:val="21"/>
          <w:highlight w:val="none"/>
        </w:rPr>
        <w:t>相关项目</w:t>
      </w:r>
      <w:r>
        <w:rPr>
          <w:rFonts w:ascii="宋体" w:hAnsi="宋体"/>
          <w:color w:val="000000"/>
          <w:szCs w:val="21"/>
          <w:highlight w:val="none"/>
        </w:rPr>
        <w:t>实施工作。</w:t>
      </w:r>
    </w:p>
    <w:p w14:paraId="6C250A17">
      <w:pPr>
        <w:autoSpaceDE w:val="0"/>
        <w:autoSpaceDN w:val="0"/>
        <w:adjustRightInd w:val="0"/>
        <w:snapToGrid w:val="0"/>
        <w:spacing w:before="0" w:line="400" w:lineRule="exact"/>
        <w:ind w:firstLine="400" w:firstLineChars="200"/>
        <w:jc w:val="left"/>
        <w:rPr>
          <w:rFonts w:ascii="宋体" w:hAnsi="宋体"/>
          <w:color w:val="000000"/>
          <w:szCs w:val="21"/>
          <w:highlight w:val="none"/>
        </w:rPr>
      </w:pPr>
      <w:r>
        <w:rPr>
          <w:rFonts w:hint="eastAsia" w:ascii="宋体" w:hAnsi="宋体"/>
          <w:color w:val="000000"/>
          <w:szCs w:val="21"/>
          <w:highlight w:val="none"/>
          <w:lang w:eastAsia="zh-CN"/>
        </w:rPr>
        <w:t>4</w:t>
      </w:r>
      <w:r>
        <w:rPr>
          <w:rFonts w:hint="eastAsia" w:ascii="宋体" w:hAnsi="宋体"/>
          <w:color w:val="000000"/>
          <w:szCs w:val="21"/>
          <w:highlight w:val="none"/>
        </w:rPr>
        <w:t xml:space="preserve">.2 </w:t>
      </w:r>
      <w:r>
        <w:rPr>
          <w:rFonts w:ascii="宋体" w:hAnsi="宋体"/>
          <w:color w:val="000000"/>
          <w:szCs w:val="21"/>
          <w:highlight w:val="none"/>
        </w:rPr>
        <w:t>甲方有权要求乙方按时提交各阶段有关</w:t>
      </w:r>
      <w:r>
        <w:rPr>
          <w:rFonts w:hint="eastAsia" w:ascii="宋体" w:hAnsi="宋体"/>
          <w:color w:val="000000"/>
          <w:szCs w:val="21"/>
          <w:highlight w:val="none"/>
        </w:rPr>
        <w:t>安排计划</w:t>
      </w:r>
      <w:r>
        <w:rPr>
          <w:rFonts w:ascii="宋体" w:hAnsi="宋体"/>
          <w:color w:val="000000"/>
          <w:szCs w:val="21"/>
          <w:highlight w:val="none"/>
        </w:rPr>
        <w:t>，并有权</w:t>
      </w:r>
      <w:r>
        <w:rPr>
          <w:rFonts w:hint="eastAsia" w:ascii="宋体" w:hAnsi="宋体"/>
          <w:color w:val="000000"/>
          <w:szCs w:val="21"/>
          <w:highlight w:val="none"/>
        </w:rPr>
        <w:t>定期核对乙方提供货物数量、规格、质量等内容。甲方</w:t>
      </w:r>
      <w:r>
        <w:rPr>
          <w:rFonts w:ascii="宋体" w:hAnsi="宋体"/>
          <w:color w:val="000000"/>
          <w:szCs w:val="21"/>
          <w:highlight w:val="none"/>
        </w:rPr>
        <w:t>有权督促乙方工作并要求乙方</w:t>
      </w:r>
      <w:r>
        <w:rPr>
          <w:rFonts w:hint="eastAsia" w:ascii="宋体" w:hAnsi="宋体"/>
          <w:color w:val="000000"/>
          <w:szCs w:val="21"/>
          <w:highlight w:val="none"/>
        </w:rPr>
        <w:t>更</w:t>
      </w:r>
      <w:r>
        <w:rPr>
          <w:rFonts w:ascii="宋体" w:hAnsi="宋体"/>
          <w:color w:val="000000"/>
          <w:szCs w:val="21"/>
          <w:highlight w:val="none"/>
        </w:rPr>
        <w:t>换不符合要求的</w:t>
      </w:r>
      <w:r>
        <w:rPr>
          <w:rFonts w:hint="eastAsia" w:ascii="宋体" w:hAnsi="宋体"/>
          <w:color w:val="000000"/>
          <w:szCs w:val="21"/>
          <w:highlight w:val="none"/>
        </w:rPr>
        <w:t>货物</w:t>
      </w:r>
      <w:r>
        <w:rPr>
          <w:rFonts w:ascii="宋体" w:hAnsi="宋体"/>
          <w:color w:val="000000"/>
          <w:szCs w:val="21"/>
          <w:highlight w:val="none"/>
        </w:rPr>
        <w:t>。</w:t>
      </w:r>
    </w:p>
    <w:p w14:paraId="3EE0A46E">
      <w:pPr>
        <w:autoSpaceDE w:val="0"/>
        <w:autoSpaceDN w:val="0"/>
        <w:adjustRightInd w:val="0"/>
        <w:snapToGrid w:val="0"/>
        <w:spacing w:before="0" w:line="400" w:lineRule="exact"/>
        <w:ind w:firstLine="400" w:firstLineChars="200"/>
        <w:jc w:val="left"/>
        <w:rPr>
          <w:rFonts w:hint="eastAsia" w:ascii="宋体" w:hAnsi="宋体"/>
          <w:color w:val="000000"/>
          <w:szCs w:val="21"/>
          <w:highlight w:val="none"/>
        </w:rPr>
      </w:pPr>
      <w:r>
        <w:rPr>
          <w:rFonts w:hint="eastAsia" w:ascii="宋体" w:hAnsi="宋体"/>
          <w:color w:val="000000"/>
          <w:szCs w:val="21"/>
          <w:highlight w:val="none"/>
          <w:lang w:eastAsia="zh-CN"/>
        </w:rPr>
        <w:t>4</w:t>
      </w:r>
      <w:r>
        <w:rPr>
          <w:rFonts w:hint="eastAsia" w:ascii="宋体" w:hAnsi="宋体"/>
          <w:color w:val="000000"/>
          <w:szCs w:val="21"/>
          <w:highlight w:val="none"/>
        </w:rPr>
        <w:t>.</w:t>
      </w:r>
      <w:r>
        <w:rPr>
          <w:rFonts w:ascii="宋体" w:hAnsi="宋体"/>
          <w:color w:val="000000"/>
          <w:szCs w:val="21"/>
          <w:highlight w:val="none"/>
        </w:rPr>
        <w:t>3</w:t>
      </w:r>
      <w:r>
        <w:rPr>
          <w:rFonts w:hint="eastAsia" w:ascii="宋体" w:hAnsi="宋体"/>
          <w:color w:val="000000"/>
          <w:szCs w:val="21"/>
          <w:highlight w:val="none"/>
        </w:rPr>
        <w:t xml:space="preserve"> </w:t>
      </w:r>
      <w:r>
        <w:rPr>
          <w:rFonts w:ascii="宋体" w:hAnsi="宋体"/>
          <w:color w:val="000000"/>
          <w:szCs w:val="21"/>
          <w:highlight w:val="none"/>
        </w:rPr>
        <w:t>甲方</w:t>
      </w:r>
      <w:r>
        <w:rPr>
          <w:rFonts w:hint="eastAsia" w:ascii="宋体" w:hAnsi="宋体"/>
          <w:color w:val="000000"/>
          <w:szCs w:val="21"/>
          <w:highlight w:val="none"/>
        </w:rPr>
        <w:t>有权要求乙方对缺陷部分予以修复，并按合同约定享有货物保修及其他合同约定的权利。</w:t>
      </w:r>
    </w:p>
    <w:p w14:paraId="3480FC27">
      <w:pPr>
        <w:snapToGrid w:val="0"/>
        <w:spacing w:line="400" w:lineRule="exact"/>
        <w:ind w:firstLine="400" w:firstLineChars="200"/>
        <w:rPr>
          <w:rFonts w:hint="eastAsia" w:eastAsia="华文楷体"/>
          <w:highlight w:val="none"/>
          <w:lang w:val="en-US" w:eastAsia="zh-CN"/>
        </w:rPr>
      </w:pPr>
      <w:r>
        <w:rPr>
          <w:rFonts w:hint="default" w:ascii="宋体" w:hAnsi="宋体"/>
          <w:color w:val="000000"/>
          <w:szCs w:val="21"/>
          <w:highlight w:val="none"/>
          <w:lang w:val="en-US" w:eastAsia="zh-CN"/>
        </w:rPr>
        <w:t>4.4 甲方应当按照合同约定及时对交付的货物进行验收</w:t>
      </w:r>
      <w:r>
        <w:rPr>
          <w:rFonts w:hint="eastAsia" w:ascii="宋体" w:hAnsi="宋体"/>
          <w:color w:val="000000"/>
          <w:szCs w:val="21"/>
          <w:highlight w:val="none"/>
          <w:lang w:val="en-US" w:eastAsia="zh-CN"/>
        </w:rPr>
        <w:t>，</w:t>
      </w:r>
      <w:r>
        <w:rPr>
          <w:rFonts w:hint="eastAsia" w:ascii="宋体" w:hAnsi="宋体" w:cs="宋体"/>
          <w:b w:val="0"/>
          <w:bCs w:val="0"/>
          <w:szCs w:val="21"/>
          <w:highlight w:val="none"/>
          <w:lang w:eastAsia="zh-CN"/>
        </w:rPr>
        <w:t>未</w:t>
      </w:r>
      <w:r>
        <w:rPr>
          <w:rFonts w:hint="eastAsia" w:ascii="宋体" w:hAnsi="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szCs w:val="21"/>
          <w:highlight w:val="none"/>
          <w:lang w:val="en-US" w:eastAsia="zh-CN"/>
        </w:rPr>
        <w:t>视为验收通过。</w:t>
      </w:r>
    </w:p>
    <w:p w14:paraId="3E64E337">
      <w:pPr>
        <w:autoSpaceDE w:val="0"/>
        <w:autoSpaceDN w:val="0"/>
        <w:adjustRightInd w:val="0"/>
        <w:snapToGrid w:val="0"/>
        <w:spacing w:line="400" w:lineRule="exact"/>
        <w:ind w:firstLine="400" w:firstLineChars="200"/>
        <w:jc w:val="left"/>
        <w:rPr>
          <w:rFonts w:hint="eastAsia" w:ascii="宋体" w:hAnsi="宋体"/>
          <w:color w:val="000000"/>
          <w:szCs w:val="21"/>
          <w:highlight w:val="none"/>
        </w:rPr>
      </w:pPr>
      <w:r>
        <w:rPr>
          <w:rFonts w:hint="default" w:ascii="宋体" w:hAnsi="宋体"/>
          <w:color w:val="000000"/>
          <w:szCs w:val="21"/>
          <w:highlight w:val="none"/>
          <w:lang w:eastAsia="zh-CN"/>
        </w:rPr>
        <w:t>4</w:t>
      </w:r>
      <w:r>
        <w:rPr>
          <w:rFonts w:hint="eastAsia" w:ascii="宋体" w:hAnsi="宋体"/>
          <w:color w:val="000000"/>
          <w:szCs w:val="21"/>
          <w:highlight w:val="none"/>
        </w:rPr>
        <w:t>.</w:t>
      </w:r>
      <w:r>
        <w:rPr>
          <w:rFonts w:hint="default" w:ascii="宋体" w:hAnsi="宋体"/>
          <w:color w:val="000000"/>
          <w:szCs w:val="21"/>
          <w:highlight w:val="none"/>
          <w:lang w:val="en-US" w:eastAsia="zh-CN"/>
        </w:rPr>
        <w:t>5</w:t>
      </w:r>
      <w:r>
        <w:rPr>
          <w:rFonts w:ascii="宋体" w:hAnsi="宋体"/>
          <w:color w:val="000000"/>
          <w:szCs w:val="21"/>
          <w:highlight w:val="none"/>
        </w:rPr>
        <w:t xml:space="preserve"> </w:t>
      </w:r>
      <w:r>
        <w:rPr>
          <w:rFonts w:hint="eastAsia" w:ascii="宋体" w:hAnsi="宋体"/>
          <w:color w:val="000000"/>
          <w:szCs w:val="21"/>
          <w:highlight w:val="none"/>
        </w:rPr>
        <w:t>甲方应当根据合同约定</w:t>
      </w:r>
      <w:r>
        <w:rPr>
          <w:rFonts w:hint="eastAsia" w:ascii="宋体" w:hAnsi="宋体"/>
          <w:color w:val="000000"/>
          <w:szCs w:val="21"/>
          <w:highlight w:val="none"/>
          <w:lang w:eastAsia="zh-CN"/>
        </w:rPr>
        <w:t>及</w:t>
      </w:r>
      <w:r>
        <w:rPr>
          <w:rFonts w:hint="eastAsia" w:ascii="宋体" w:hAnsi="宋体"/>
          <w:color w:val="000000"/>
          <w:szCs w:val="21"/>
          <w:highlight w:val="none"/>
        </w:rPr>
        <w:t>时向乙方支付</w:t>
      </w:r>
      <w:r>
        <w:rPr>
          <w:rFonts w:hint="eastAsia" w:ascii="宋体" w:hAnsi="宋体"/>
          <w:color w:val="000000"/>
          <w:szCs w:val="21"/>
          <w:highlight w:val="none"/>
          <w:lang w:eastAsia="zh-CN"/>
        </w:rPr>
        <w:t>合同价款</w:t>
      </w:r>
      <w:r>
        <w:rPr>
          <w:rFonts w:hint="default" w:ascii="宋体" w:hAnsi="宋体"/>
          <w:color w:val="000000"/>
          <w:szCs w:val="21"/>
          <w:highlight w:val="none"/>
          <w:lang w:eastAsia="zh-CN"/>
        </w:rPr>
        <w:t>，不得以内部人员变更、履行内部付款流程等为由，拒绝或迟延支付。</w:t>
      </w:r>
    </w:p>
    <w:p w14:paraId="1EDE3847">
      <w:pPr>
        <w:autoSpaceDE w:val="0"/>
        <w:autoSpaceDN w:val="0"/>
        <w:adjustRightInd w:val="0"/>
        <w:snapToGrid w:val="0"/>
        <w:spacing w:before="0" w:line="400" w:lineRule="exact"/>
        <w:ind w:firstLine="400" w:firstLineChars="200"/>
        <w:jc w:val="left"/>
        <w:rPr>
          <w:rFonts w:ascii="宋体" w:hAnsi="宋体"/>
          <w:color w:val="000000"/>
          <w:szCs w:val="21"/>
          <w:highlight w:val="none"/>
        </w:rPr>
      </w:pPr>
      <w:r>
        <w:rPr>
          <w:rFonts w:hint="eastAsia" w:ascii="宋体" w:hAnsi="宋体"/>
          <w:color w:val="000000"/>
          <w:szCs w:val="21"/>
          <w:highlight w:val="none"/>
          <w:lang w:eastAsia="zh-CN"/>
        </w:rPr>
        <w:t>4</w:t>
      </w:r>
      <w:r>
        <w:rPr>
          <w:rFonts w:hint="eastAsia" w:ascii="宋体" w:hAnsi="宋体"/>
          <w:color w:val="000000"/>
          <w:szCs w:val="21"/>
          <w:highlight w:val="none"/>
        </w:rPr>
        <w:t>.</w:t>
      </w:r>
      <w:r>
        <w:rPr>
          <w:rFonts w:hint="eastAsia" w:ascii="宋体" w:hAnsi="宋体"/>
          <w:color w:val="000000"/>
          <w:szCs w:val="21"/>
          <w:highlight w:val="none"/>
          <w:lang w:val="en-US" w:eastAsia="zh-CN"/>
        </w:rPr>
        <w:t>6</w:t>
      </w:r>
      <w:r>
        <w:rPr>
          <w:rFonts w:ascii="宋体" w:hAnsi="宋体"/>
          <w:color w:val="000000"/>
          <w:szCs w:val="21"/>
          <w:highlight w:val="none"/>
        </w:rPr>
        <w:t xml:space="preserve"> </w:t>
      </w:r>
      <w:r>
        <w:rPr>
          <w:rFonts w:hint="eastAsia" w:ascii="宋体" w:hAnsi="宋体"/>
          <w:color w:val="000000"/>
          <w:szCs w:val="21"/>
          <w:highlight w:val="none"/>
        </w:rPr>
        <w:t>国家法律法规规定</w:t>
      </w:r>
      <w:r>
        <w:rPr>
          <w:rFonts w:hint="eastAsia" w:ascii="宋体" w:hAnsi="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color w:val="000000"/>
          <w:szCs w:val="21"/>
          <w:highlight w:val="none"/>
          <w:lang w:eastAsia="zh-CN"/>
        </w:rPr>
        <w:t>约定应</w:t>
      </w:r>
      <w:r>
        <w:rPr>
          <w:rFonts w:hint="eastAsia" w:ascii="宋体" w:hAnsi="宋体"/>
          <w:color w:val="000000"/>
          <w:szCs w:val="21"/>
          <w:highlight w:val="none"/>
        </w:rPr>
        <w:t>由甲方承担的其他义务和责任。</w:t>
      </w:r>
    </w:p>
    <w:p w14:paraId="71F81B14">
      <w:pPr>
        <w:autoSpaceDE w:val="0"/>
        <w:autoSpaceDN w:val="0"/>
        <w:adjustRightInd w:val="0"/>
        <w:snapToGrid w:val="0"/>
        <w:spacing w:before="0" w:line="400" w:lineRule="exact"/>
        <w:jc w:val="left"/>
        <w:rPr>
          <w:rFonts w:ascii="宋体" w:hAnsi="宋体"/>
          <w:b/>
          <w:bCs/>
          <w:color w:val="000000"/>
          <w:sz w:val="24"/>
          <w:highlight w:val="none"/>
        </w:rPr>
      </w:pPr>
      <w:r>
        <w:rPr>
          <w:rFonts w:hint="eastAsia" w:ascii="宋体" w:hAnsi="宋体"/>
          <w:b/>
          <w:bCs/>
          <w:color w:val="000000"/>
          <w:sz w:val="24"/>
          <w:highlight w:val="none"/>
          <w:lang w:eastAsia="zh-CN"/>
        </w:rPr>
        <w:t>5</w:t>
      </w:r>
      <w:r>
        <w:rPr>
          <w:rFonts w:hint="eastAsia" w:ascii="宋体" w:hAnsi="宋体"/>
          <w:b/>
          <w:bCs/>
          <w:color w:val="000000"/>
          <w:sz w:val="24"/>
          <w:highlight w:val="none"/>
          <w:lang w:val="en-US" w:eastAsia="zh-CN"/>
        </w:rPr>
        <w:t xml:space="preserve">. </w:t>
      </w:r>
      <w:r>
        <w:rPr>
          <w:rFonts w:hint="eastAsia" w:ascii="宋体" w:hAnsi="宋体"/>
          <w:b/>
          <w:bCs/>
          <w:color w:val="000000"/>
          <w:sz w:val="24"/>
          <w:highlight w:val="none"/>
        </w:rPr>
        <w:t>乙方的权利和义务</w:t>
      </w:r>
    </w:p>
    <w:p w14:paraId="4130B962">
      <w:pPr>
        <w:autoSpaceDE w:val="0"/>
        <w:autoSpaceDN w:val="0"/>
        <w:adjustRightInd w:val="0"/>
        <w:snapToGrid w:val="0"/>
        <w:spacing w:before="0" w:line="400" w:lineRule="exact"/>
        <w:ind w:firstLine="400" w:firstLineChars="200"/>
        <w:jc w:val="left"/>
        <w:rPr>
          <w:rFonts w:ascii="宋体" w:hAnsi="宋体"/>
          <w:color w:val="000000"/>
          <w:szCs w:val="21"/>
          <w:highlight w:val="none"/>
        </w:rPr>
      </w:pPr>
      <w:r>
        <w:rPr>
          <w:rFonts w:hint="eastAsia" w:ascii="宋体" w:hAnsi="宋体"/>
          <w:color w:val="000000"/>
          <w:szCs w:val="21"/>
          <w:highlight w:val="none"/>
          <w:lang w:eastAsia="zh-CN"/>
        </w:rPr>
        <w:t>5</w:t>
      </w:r>
      <w:r>
        <w:rPr>
          <w:rFonts w:hint="eastAsia" w:ascii="宋体" w:hAnsi="宋体"/>
          <w:color w:val="000000"/>
          <w:szCs w:val="21"/>
          <w:highlight w:val="none"/>
        </w:rPr>
        <w:t xml:space="preserve">.1 </w:t>
      </w:r>
      <w:r>
        <w:rPr>
          <w:rFonts w:ascii="宋体" w:hAnsi="宋体"/>
          <w:color w:val="000000"/>
          <w:szCs w:val="21"/>
          <w:highlight w:val="none"/>
        </w:rPr>
        <w:t>签署合同后，乙方</w:t>
      </w:r>
      <w:r>
        <w:rPr>
          <w:rFonts w:hint="eastAsia" w:ascii="宋体" w:hAnsi="宋体"/>
          <w:color w:val="000000"/>
          <w:szCs w:val="21"/>
          <w:highlight w:val="none"/>
          <w:lang w:eastAsia="zh-CN"/>
        </w:rPr>
        <w:t>应</w:t>
      </w:r>
      <w:r>
        <w:rPr>
          <w:rFonts w:ascii="宋体" w:hAnsi="宋体"/>
          <w:color w:val="000000"/>
          <w:szCs w:val="21"/>
          <w:highlight w:val="none"/>
        </w:rPr>
        <w:t>确定</w:t>
      </w:r>
      <w:r>
        <w:rPr>
          <w:rFonts w:hint="eastAsia" w:ascii="宋体" w:hAnsi="宋体"/>
          <w:color w:val="000000"/>
          <w:szCs w:val="21"/>
          <w:highlight w:val="none"/>
          <w:lang w:val="en-US" w:eastAsia="zh-CN"/>
        </w:rPr>
        <w:t>项目负责人（或项目联系人）</w:t>
      </w:r>
      <w:r>
        <w:rPr>
          <w:rFonts w:ascii="宋体" w:hAnsi="宋体"/>
          <w:color w:val="000000"/>
          <w:szCs w:val="21"/>
          <w:highlight w:val="none"/>
        </w:rPr>
        <w:t>，负责与本合同有关的事务。</w:t>
      </w:r>
    </w:p>
    <w:p w14:paraId="5D4CC8F4">
      <w:pPr>
        <w:autoSpaceDE w:val="0"/>
        <w:autoSpaceDN w:val="0"/>
        <w:adjustRightInd w:val="0"/>
        <w:snapToGrid w:val="0"/>
        <w:spacing w:before="0" w:line="400" w:lineRule="exact"/>
        <w:ind w:firstLine="400" w:firstLineChars="200"/>
        <w:jc w:val="left"/>
        <w:rPr>
          <w:rFonts w:ascii="宋体" w:hAnsi="宋体"/>
          <w:color w:val="000000"/>
          <w:szCs w:val="21"/>
          <w:highlight w:val="none"/>
        </w:rPr>
      </w:pPr>
      <w:r>
        <w:rPr>
          <w:rFonts w:hint="eastAsia" w:ascii="宋体" w:hAnsi="宋体"/>
          <w:color w:val="000000"/>
          <w:szCs w:val="21"/>
          <w:highlight w:val="none"/>
          <w:lang w:eastAsia="zh-CN"/>
        </w:rPr>
        <w:t>5</w:t>
      </w:r>
      <w:r>
        <w:rPr>
          <w:rFonts w:hint="eastAsia" w:ascii="宋体" w:hAnsi="宋体"/>
          <w:color w:val="000000"/>
          <w:szCs w:val="21"/>
          <w:highlight w:val="none"/>
        </w:rPr>
        <w:t>.</w:t>
      </w:r>
      <w:r>
        <w:rPr>
          <w:rFonts w:ascii="宋体" w:hAnsi="宋体"/>
          <w:color w:val="000000"/>
          <w:szCs w:val="21"/>
          <w:highlight w:val="none"/>
        </w:rPr>
        <w:t>2 乙方应按照合同要求</w:t>
      </w:r>
      <w:r>
        <w:rPr>
          <w:rFonts w:hint="eastAsia" w:ascii="宋体" w:hAnsi="宋体"/>
          <w:color w:val="000000"/>
          <w:szCs w:val="21"/>
          <w:highlight w:val="none"/>
        </w:rPr>
        <w:t>履约</w:t>
      </w:r>
      <w:r>
        <w:rPr>
          <w:rFonts w:ascii="宋体" w:hAnsi="宋体"/>
          <w:color w:val="000000"/>
          <w:szCs w:val="21"/>
          <w:highlight w:val="none"/>
        </w:rPr>
        <w:t>，充分合理安排，确保</w:t>
      </w:r>
      <w:r>
        <w:rPr>
          <w:rFonts w:hint="eastAsia" w:ascii="宋体" w:hAnsi="宋体"/>
          <w:color w:val="000000"/>
          <w:szCs w:val="21"/>
          <w:highlight w:val="none"/>
        </w:rPr>
        <w:t>提供的货物</w:t>
      </w:r>
      <w:r>
        <w:rPr>
          <w:rFonts w:hint="eastAsia" w:ascii="宋体" w:hAnsi="宋体"/>
          <w:color w:val="000000"/>
          <w:szCs w:val="21"/>
          <w:highlight w:val="none"/>
          <w:lang w:eastAsia="zh-CN"/>
        </w:rPr>
        <w:t>及相关</w:t>
      </w:r>
      <w:r>
        <w:rPr>
          <w:rFonts w:hint="eastAsia" w:ascii="宋体" w:hAnsi="宋体"/>
          <w:color w:val="000000"/>
          <w:szCs w:val="21"/>
          <w:highlight w:val="none"/>
        </w:rPr>
        <w:t>服务符合合同</w:t>
      </w:r>
      <w:r>
        <w:rPr>
          <w:rFonts w:hint="eastAsia" w:ascii="宋体" w:hAnsi="宋体"/>
          <w:color w:val="000000"/>
          <w:szCs w:val="21"/>
          <w:highlight w:val="none"/>
          <w:lang w:eastAsia="zh-CN"/>
        </w:rPr>
        <w:t>有关</w:t>
      </w:r>
      <w:r>
        <w:rPr>
          <w:rFonts w:ascii="宋体" w:hAnsi="宋体"/>
          <w:color w:val="000000"/>
          <w:szCs w:val="21"/>
          <w:highlight w:val="none"/>
        </w:rPr>
        <w:t>要求</w:t>
      </w:r>
      <w:r>
        <w:rPr>
          <w:rFonts w:hint="eastAsia" w:ascii="宋体" w:hAnsi="宋体"/>
          <w:color w:val="000000"/>
          <w:szCs w:val="21"/>
          <w:highlight w:val="none"/>
        </w:rPr>
        <w:t>。接受项目行业管理部门及政府有关部门的指导，配合甲方的履约检查</w:t>
      </w:r>
      <w:r>
        <w:rPr>
          <w:rFonts w:hint="eastAsia" w:ascii="宋体" w:hAnsi="宋体"/>
          <w:color w:val="000000"/>
          <w:szCs w:val="21"/>
          <w:highlight w:val="none"/>
          <w:lang w:eastAsia="zh-CN"/>
        </w:rPr>
        <w:t>及验收</w:t>
      </w:r>
      <w:r>
        <w:rPr>
          <w:rFonts w:hint="eastAsia" w:ascii="宋体" w:hAnsi="宋体"/>
          <w:color w:val="000000"/>
          <w:szCs w:val="21"/>
          <w:highlight w:val="none"/>
        </w:rPr>
        <w:t>，并</w:t>
      </w:r>
      <w:r>
        <w:rPr>
          <w:rFonts w:ascii="宋体" w:hAnsi="宋体"/>
          <w:color w:val="000000"/>
          <w:szCs w:val="21"/>
          <w:highlight w:val="none"/>
        </w:rPr>
        <w:t>负责项目实施过程中的所有协调工作。</w:t>
      </w:r>
    </w:p>
    <w:p w14:paraId="71863287">
      <w:pPr>
        <w:pStyle w:val="3"/>
        <w:spacing w:after="0" w:line="400" w:lineRule="exact"/>
        <w:ind w:firstLine="369" w:firstLineChars="176"/>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5</w:t>
      </w:r>
      <w:r>
        <w:rPr>
          <w:rFonts w:hint="eastAsia" w:ascii="宋体" w:hAnsi="宋体" w:eastAsia="宋体" w:cs="宋体"/>
          <w:color w:val="000000"/>
          <w:sz w:val="21"/>
          <w:szCs w:val="21"/>
          <w:highlight w:val="none"/>
        </w:rPr>
        <w:t>.3乙方有权根据合同约定向甲方收取</w:t>
      </w:r>
      <w:r>
        <w:rPr>
          <w:rFonts w:hint="eastAsia" w:ascii="宋体" w:hAnsi="宋体" w:eastAsia="宋体" w:cs="宋体"/>
          <w:color w:val="000000"/>
          <w:sz w:val="21"/>
          <w:szCs w:val="21"/>
          <w:highlight w:val="none"/>
          <w:lang w:eastAsia="zh-CN"/>
        </w:rPr>
        <w:t>合同价款</w:t>
      </w:r>
      <w:r>
        <w:rPr>
          <w:rFonts w:hint="eastAsia" w:ascii="宋体" w:hAnsi="宋体" w:eastAsia="宋体" w:cs="宋体"/>
          <w:color w:val="000000"/>
          <w:sz w:val="21"/>
          <w:szCs w:val="21"/>
          <w:highlight w:val="none"/>
        </w:rPr>
        <w:t>。</w:t>
      </w:r>
    </w:p>
    <w:p w14:paraId="7F8B68FF">
      <w:pPr>
        <w:pStyle w:val="3"/>
        <w:spacing w:after="0" w:line="400" w:lineRule="exact"/>
        <w:ind w:firstLine="369" w:firstLineChars="176"/>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5</w:t>
      </w:r>
      <w:r>
        <w:rPr>
          <w:rFonts w:hint="eastAsia" w:ascii="宋体" w:hAnsi="宋体" w:eastAsia="宋体" w:cs="宋体"/>
          <w:color w:val="000000"/>
          <w:sz w:val="21"/>
          <w:szCs w:val="21"/>
          <w:highlight w:val="none"/>
        </w:rPr>
        <w:t>.4国家法律法规规定</w:t>
      </w:r>
      <w:r>
        <w:rPr>
          <w:rFonts w:hint="eastAsia" w:ascii="宋体" w:hAnsi="宋体" w:eastAsia="宋体" w:cs="宋体"/>
          <w:color w:val="000000"/>
          <w:sz w:val="21"/>
          <w:szCs w:val="21"/>
          <w:highlight w:val="none"/>
          <w:lang w:eastAsia="zh-CN"/>
        </w:rPr>
        <w:t>及</w:t>
      </w:r>
      <w:r>
        <w:rPr>
          <w:rFonts w:hint="eastAsia" w:ascii="宋体" w:hAnsi="宋体" w:eastAsia="宋体" w:cs="宋体"/>
          <w:b/>
          <w:bCs/>
          <w:sz w:val="21"/>
          <w:szCs w:val="21"/>
          <w:highlight w:val="none"/>
        </w:rPr>
        <w:t>【政府采购合同专用条款】</w:t>
      </w:r>
      <w:r>
        <w:rPr>
          <w:rFonts w:hint="eastAsia" w:ascii="宋体" w:hAnsi="宋体" w:eastAsia="宋体" w:cs="宋体"/>
          <w:b w:val="0"/>
          <w:bCs w:val="0"/>
          <w:sz w:val="21"/>
          <w:szCs w:val="21"/>
          <w:highlight w:val="none"/>
          <w:lang w:eastAsia="zh-CN"/>
        </w:rPr>
        <w:t>约定应</w:t>
      </w:r>
      <w:r>
        <w:rPr>
          <w:rFonts w:hint="eastAsia" w:ascii="宋体" w:hAnsi="宋体" w:eastAsia="宋体" w:cs="宋体"/>
          <w:color w:val="000000"/>
          <w:sz w:val="21"/>
          <w:szCs w:val="21"/>
          <w:highlight w:val="none"/>
        </w:rPr>
        <w:t>由乙方承担的其他义务和责任。</w:t>
      </w:r>
    </w:p>
    <w:p w14:paraId="0E9201F4">
      <w:pPr>
        <w:numPr>
          <w:ilvl w:val="0"/>
          <w:numId w:val="6"/>
        </w:numPr>
        <w:autoSpaceDE w:val="0"/>
        <w:autoSpaceDN w:val="0"/>
        <w:adjustRightInd w:val="0"/>
        <w:snapToGrid w:val="0"/>
        <w:spacing w:before="0" w:line="400" w:lineRule="exact"/>
        <w:jc w:val="left"/>
        <w:rPr>
          <w:rFonts w:hint="eastAsia" w:ascii="宋体" w:hAnsi="宋体"/>
          <w:b/>
          <w:bCs/>
          <w:color w:val="000000"/>
          <w:sz w:val="24"/>
          <w:highlight w:val="none"/>
        </w:rPr>
      </w:pPr>
      <w:r>
        <w:rPr>
          <w:rFonts w:hint="eastAsia" w:ascii="宋体" w:hAnsi="宋体"/>
          <w:b/>
          <w:bCs/>
          <w:color w:val="000000"/>
          <w:sz w:val="24"/>
          <w:highlight w:val="none"/>
        </w:rPr>
        <w:t>合同履</w:t>
      </w:r>
      <w:r>
        <w:rPr>
          <w:rFonts w:hint="eastAsia" w:ascii="宋体" w:hAnsi="宋体"/>
          <w:b/>
          <w:bCs/>
          <w:color w:val="000000"/>
          <w:sz w:val="24"/>
          <w:highlight w:val="none"/>
          <w:lang w:val="en-US" w:eastAsia="zh-CN"/>
        </w:rPr>
        <w:t>行</w:t>
      </w:r>
    </w:p>
    <w:p w14:paraId="67094136">
      <w:pPr>
        <w:autoSpaceDE w:val="0"/>
        <w:autoSpaceDN w:val="0"/>
        <w:adjustRightInd w:val="0"/>
        <w:snapToGrid w:val="0"/>
        <w:spacing w:before="0" w:line="400" w:lineRule="exact"/>
        <w:ind w:firstLine="400" w:firstLineChars="200"/>
        <w:jc w:val="left"/>
        <w:rPr>
          <w:rFonts w:ascii="宋体" w:hAnsi="宋体"/>
          <w:color w:val="000000"/>
          <w:szCs w:val="21"/>
          <w:highlight w:val="none"/>
        </w:rPr>
      </w:pPr>
      <w:r>
        <w:rPr>
          <w:rFonts w:hint="eastAsia" w:ascii="宋体" w:hAnsi="宋体"/>
          <w:color w:val="000000"/>
          <w:szCs w:val="21"/>
          <w:highlight w:val="none"/>
          <w:lang w:eastAsia="zh-CN"/>
        </w:rPr>
        <w:t>6</w:t>
      </w:r>
      <w:r>
        <w:rPr>
          <w:rFonts w:hint="eastAsia" w:ascii="宋体" w:hAnsi="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szCs w:val="21"/>
          <w:highlight w:val="none"/>
        </w:rPr>
        <w:t>约定顺序履行合同义务；如果没有先后顺序的，应当同时履行。</w:t>
      </w:r>
    </w:p>
    <w:p w14:paraId="4344080C">
      <w:pPr>
        <w:autoSpaceDE w:val="0"/>
        <w:autoSpaceDN w:val="0"/>
        <w:adjustRightInd w:val="0"/>
        <w:snapToGrid w:val="0"/>
        <w:spacing w:before="0" w:line="400" w:lineRule="exact"/>
        <w:ind w:firstLine="400" w:firstLineChars="200"/>
        <w:jc w:val="left"/>
        <w:rPr>
          <w:highlight w:val="none"/>
        </w:rPr>
      </w:pPr>
      <w:r>
        <w:rPr>
          <w:rFonts w:hint="eastAsia" w:ascii="宋体" w:hAnsi="宋体"/>
          <w:color w:val="000000"/>
          <w:szCs w:val="21"/>
          <w:highlight w:val="none"/>
          <w:lang w:eastAsia="zh-CN"/>
        </w:rPr>
        <w:t>6</w:t>
      </w:r>
      <w:r>
        <w:rPr>
          <w:rFonts w:hint="eastAsia" w:ascii="宋体" w:hAnsi="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0008FAAE">
      <w:pPr>
        <w:adjustRightInd w:val="0"/>
        <w:snapToGrid w:val="0"/>
        <w:spacing w:before="0" w:line="400" w:lineRule="exact"/>
        <w:jc w:val="left"/>
        <w:rPr>
          <w:rFonts w:ascii="宋体" w:hAnsi="宋体"/>
          <w:b/>
          <w:bCs/>
          <w:color w:val="000000"/>
          <w:sz w:val="24"/>
          <w:highlight w:val="none"/>
        </w:rPr>
      </w:pPr>
      <w:r>
        <w:rPr>
          <w:rFonts w:hint="eastAsia" w:ascii="宋体" w:hAnsi="宋体"/>
          <w:b/>
          <w:bCs/>
          <w:color w:val="000000"/>
          <w:sz w:val="24"/>
          <w:highlight w:val="none"/>
          <w:lang w:eastAsia="zh-CN"/>
        </w:rPr>
        <w:t>7</w:t>
      </w:r>
      <w:r>
        <w:rPr>
          <w:rFonts w:hint="eastAsia" w:ascii="宋体" w:hAnsi="宋体"/>
          <w:b/>
          <w:bCs/>
          <w:color w:val="000000"/>
          <w:sz w:val="24"/>
          <w:highlight w:val="none"/>
          <w:lang w:val="en-US" w:eastAsia="zh-CN"/>
        </w:rPr>
        <w:t xml:space="preserve">. </w:t>
      </w:r>
      <w:r>
        <w:rPr>
          <w:rFonts w:hint="eastAsia" w:ascii="宋体" w:hAnsi="宋体"/>
          <w:b/>
          <w:bCs/>
          <w:color w:val="000000"/>
          <w:sz w:val="24"/>
          <w:highlight w:val="none"/>
        </w:rPr>
        <w:t>货物包装、运输</w:t>
      </w:r>
      <w:r>
        <w:rPr>
          <w:rFonts w:hint="eastAsia" w:ascii="宋体" w:hAnsi="宋体"/>
          <w:b/>
          <w:bCs/>
          <w:color w:val="000000"/>
          <w:sz w:val="24"/>
          <w:highlight w:val="none"/>
          <w:lang w:eastAsia="zh-CN"/>
        </w:rPr>
        <w:t>、</w:t>
      </w:r>
      <w:r>
        <w:rPr>
          <w:rFonts w:hint="eastAsia" w:ascii="宋体" w:hAnsi="宋体"/>
          <w:b/>
          <w:bCs/>
          <w:color w:val="000000"/>
          <w:sz w:val="24"/>
          <w:highlight w:val="none"/>
        </w:rPr>
        <w:t>保险</w:t>
      </w:r>
      <w:r>
        <w:rPr>
          <w:rFonts w:hint="eastAsia" w:ascii="宋体" w:hAnsi="宋体"/>
          <w:b/>
          <w:bCs/>
          <w:color w:val="000000"/>
          <w:sz w:val="24"/>
          <w:highlight w:val="none"/>
          <w:lang w:eastAsia="zh-CN"/>
        </w:rPr>
        <w:t>和交付</w:t>
      </w:r>
      <w:r>
        <w:rPr>
          <w:rFonts w:hint="eastAsia" w:ascii="宋体" w:hAnsi="宋体"/>
          <w:b/>
          <w:bCs/>
          <w:color w:val="000000"/>
          <w:sz w:val="24"/>
          <w:highlight w:val="none"/>
        </w:rPr>
        <w:t>要求</w:t>
      </w:r>
    </w:p>
    <w:p w14:paraId="171545E2">
      <w:pPr>
        <w:autoSpaceDE w:val="0"/>
        <w:autoSpaceDN w:val="0"/>
        <w:adjustRightInd w:val="0"/>
        <w:snapToGrid w:val="0"/>
        <w:spacing w:before="0" w:line="400" w:lineRule="exact"/>
        <w:ind w:firstLine="400" w:firstLineChars="200"/>
        <w:jc w:val="left"/>
        <w:rPr>
          <w:rFonts w:ascii="宋体" w:hAnsi="宋体"/>
          <w:color w:val="000000"/>
          <w:szCs w:val="21"/>
          <w:highlight w:val="none"/>
        </w:rPr>
      </w:pPr>
      <w:r>
        <w:rPr>
          <w:rFonts w:hint="eastAsia" w:ascii="宋体" w:hAnsi="宋体"/>
          <w:color w:val="000000"/>
          <w:szCs w:val="21"/>
          <w:highlight w:val="none"/>
          <w:lang w:eastAsia="zh-CN"/>
        </w:rPr>
        <w:t>7</w:t>
      </w:r>
      <w:r>
        <w:rPr>
          <w:rFonts w:hint="eastAsia" w:ascii="宋体" w:hAnsi="宋体"/>
          <w:color w:val="000000"/>
          <w:szCs w:val="21"/>
          <w:highlight w:val="none"/>
        </w:rPr>
        <w:t>.1 本合同</w:t>
      </w:r>
      <w:r>
        <w:rPr>
          <w:rFonts w:hint="eastAsia" w:ascii="宋体" w:hAnsi="宋体"/>
          <w:bCs/>
          <w:color w:val="000000"/>
          <w:szCs w:val="21"/>
          <w:highlight w:val="none"/>
        </w:rPr>
        <w:t>涉及商品包装</w:t>
      </w:r>
      <w:r>
        <w:rPr>
          <w:rFonts w:hint="eastAsia" w:ascii="宋体" w:hAnsi="宋体"/>
          <w:bCs/>
          <w:color w:val="000000"/>
          <w:szCs w:val="21"/>
          <w:highlight w:val="none"/>
          <w:lang w:eastAsia="zh-CN"/>
        </w:rPr>
        <w:t>、</w:t>
      </w:r>
      <w:r>
        <w:rPr>
          <w:rFonts w:hint="eastAsia" w:ascii="宋体" w:hAnsi="宋体"/>
          <w:bCs/>
          <w:color w:val="000000"/>
          <w:szCs w:val="21"/>
          <w:highlight w:val="none"/>
        </w:rPr>
        <w:t>快递包装的，</w:t>
      </w:r>
      <w:r>
        <w:rPr>
          <w:rFonts w:hint="eastAsia" w:ascii="宋体" w:hAnsi="宋体"/>
          <w:color w:val="000000"/>
          <w:szCs w:val="21"/>
          <w:highlight w:val="none"/>
        </w:rPr>
        <w:t>除</w:t>
      </w:r>
      <w:r>
        <w:rPr>
          <w:rFonts w:hint="eastAsia" w:ascii="宋体" w:hAnsi="宋体"/>
          <w:b/>
          <w:color w:val="000000"/>
          <w:szCs w:val="21"/>
          <w:highlight w:val="none"/>
        </w:rPr>
        <w:t>【政府采购合同专用条款】</w:t>
      </w:r>
      <w:r>
        <w:rPr>
          <w:rFonts w:hint="eastAsia" w:ascii="宋体" w:hAnsi="宋体"/>
          <w:bCs/>
          <w:color w:val="000000"/>
          <w:szCs w:val="21"/>
          <w:highlight w:val="none"/>
        </w:rPr>
        <w:t>另有</w:t>
      </w:r>
      <w:r>
        <w:rPr>
          <w:rFonts w:hint="eastAsia" w:ascii="宋体" w:hAnsi="宋体"/>
          <w:bCs/>
          <w:color w:val="000000"/>
          <w:szCs w:val="21"/>
          <w:highlight w:val="none"/>
          <w:lang w:eastAsia="zh-CN"/>
        </w:rPr>
        <w:t>约</w:t>
      </w:r>
      <w:r>
        <w:rPr>
          <w:rFonts w:hint="eastAsia" w:ascii="宋体" w:hAnsi="宋体"/>
          <w:bCs/>
          <w:color w:val="000000"/>
          <w:szCs w:val="21"/>
          <w:highlight w:val="none"/>
        </w:rPr>
        <w:t>定</w:t>
      </w:r>
      <w:r>
        <w:rPr>
          <w:rFonts w:hint="eastAsia" w:ascii="宋体" w:hAnsi="宋体"/>
          <w:bCs/>
          <w:color w:val="000000"/>
          <w:szCs w:val="21"/>
          <w:highlight w:val="none"/>
          <w:lang w:eastAsia="zh-CN"/>
        </w:rPr>
        <w:t>外</w:t>
      </w:r>
      <w:r>
        <w:rPr>
          <w:rFonts w:hint="eastAsia" w:ascii="宋体" w:hAnsi="宋体"/>
          <w:bCs/>
          <w:color w:val="000000"/>
          <w:szCs w:val="21"/>
          <w:highlight w:val="none"/>
        </w:rPr>
        <w:t>，</w:t>
      </w:r>
      <w:r>
        <w:rPr>
          <w:rFonts w:hint="eastAsia" w:ascii="宋体" w:hAnsi="宋体"/>
          <w:color w:val="000000"/>
          <w:szCs w:val="21"/>
          <w:highlight w:val="none"/>
        </w:rPr>
        <w:t>包装应适应远距离运输、防潮、防震、防锈和防野蛮装卸等要求，确保货物安全无损地运抵</w:t>
      </w:r>
      <w:r>
        <w:rPr>
          <w:rFonts w:hint="eastAsia" w:ascii="宋体" w:hAnsi="宋体"/>
          <w:b/>
          <w:color w:val="000000"/>
          <w:szCs w:val="21"/>
          <w:highlight w:val="none"/>
        </w:rPr>
        <w:t>【政府采购合同专用条款】</w:t>
      </w:r>
      <w:r>
        <w:rPr>
          <w:rFonts w:hint="eastAsia" w:ascii="宋体" w:hAnsi="宋体"/>
          <w:b w:val="0"/>
          <w:bCs/>
          <w:color w:val="000000"/>
          <w:szCs w:val="21"/>
          <w:highlight w:val="none"/>
          <w:lang w:eastAsia="zh-CN"/>
        </w:rPr>
        <w:t>约定的</w:t>
      </w:r>
      <w:r>
        <w:rPr>
          <w:rFonts w:hint="eastAsia" w:ascii="宋体" w:hAnsi="宋体"/>
          <w:color w:val="000000"/>
          <w:szCs w:val="21"/>
          <w:highlight w:val="none"/>
        </w:rPr>
        <w:t>指定现场。</w:t>
      </w:r>
    </w:p>
    <w:p w14:paraId="0334161D">
      <w:pPr>
        <w:adjustRightInd w:val="0"/>
        <w:snapToGrid w:val="0"/>
        <w:spacing w:before="0" w:line="400" w:lineRule="exact"/>
        <w:ind w:firstLine="400" w:firstLineChars="200"/>
        <w:jc w:val="left"/>
        <w:rPr>
          <w:rFonts w:ascii="宋体" w:hAnsi="宋体"/>
          <w:color w:val="000000"/>
          <w:szCs w:val="21"/>
          <w:highlight w:val="none"/>
        </w:rPr>
      </w:pPr>
      <w:r>
        <w:rPr>
          <w:rFonts w:hint="eastAsia" w:ascii="宋体" w:hAnsi="宋体"/>
          <w:color w:val="000000"/>
          <w:szCs w:val="21"/>
          <w:highlight w:val="none"/>
          <w:lang w:eastAsia="zh-CN"/>
        </w:rPr>
        <w:t>7</w:t>
      </w:r>
      <w:r>
        <w:rPr>
          <w:rFonts w:hint="eastAsia" w:ascii="宋体" w:hAnsi="宋体"/>
          <w:color w:val="000000"/>
          <w:szCs w:val="21"/>
          <w:highlight w:val="none"/>
        </w:rPr>
        <w:t>.2 除</w:t>
      </w:r>
      <w:r>
        <w:rPr>
          <w:rFonts w:hint="eastAsia" w:ascii="宋体" w:hAnsi="宋体"/>
          <w:b/>
          <w:color w:val="000000"/>
          <w:szCs w:val="21"/>
          <w:highlight w:val="none"/>
        </w:rPr>
        <w:t>【政府采购合同专用条款】</w:t>
      </w:r>
      <w:r>
        <w:rPr>
          <w:rFonts w:hint="eastAsia" w:ascii="宋体" w:hAnsi="宋体"/>
          <w:bCs/>
          <w:color w:val="000000"/>
          <w:szCs w:val="21"/>
          <w:highlight w:val="none"/>
        </w:rPr>
        <w:t>另有</w:t>
      </w:r>
      <w:r>
        <w:rPr>
          <w:rFonts w:hint="eastAsia" w:ascii="宋体" w:hAnsi="宋体"/>
          <w:bCs/>
          <w:color w:val="000000"/>
          <w:szCs w:val="21"/>
          <w:highlight w:val="none"/>
          <w:lang w:eastAsia="zh-CN"/>
        </w:rPr>
        <w:t>约</w:t>
      </w:r>
      <w:r>
        <w:rPr>
          <w:rFonts w:hint="eastAsia" w:ascii="宋体" w:hAnsi="宋体"/>
          <w:bCs/>
          <w:color w:val="000000"/>
          <w:szCs w:val="21"/>
          <w:highlight w:val="none"/>
        </w:rPr>
        <w:t>定</w:t>
      </w:r>
      <w:r>
        <w:rPr>
          <w:rFonts w:hint="eastAsia" w:ascii="宋体" w:hAnsi="宋体"/>
          <w:bCs/>
          <w:color w:val="000000"/>
          <w:szCs w:val="21"/>
          <w:highlight w:val="none"/>
          <w:lang w:eastAsia="zh-CN"/>
        </w:rPr>
        <w:t>外</w:t>
      </w:r>
      <w:r>
        <w:rPr>
          <w:rFonts w:hint="eastAsia" w:ascii="宋体" w:hAnsi="宋体"/>
          <w:bCs/>
          <w:color w:val="000000"/>
          <w:szCs w:val="21"/>
          <w:highlight w:val="none"/>
        </w:rPr>
        <w:t>，</w:t>
      </w:r>
      <w:r>
        <w:rPr>
          <w:rFonts w:hint="eastAsia" w:ascii="宋体" w:hAnsi="宋体"/>
          <w:color w:val="000000"/>
          <w:szCs w:val="21"/>
          <w:highlight w:val="none"/>
        </w:rPr>
        <w:t>乙方负责办理将货物运抵本合同规定的交货地点</w:t>
      </w:r>
      <w:r>
        <w:rPr>
          <w:rFonts w:hint="eastAsia" w:ascii="宋体" w:hAnsi="宋体"/>
          <w:color w:val="000000"/>
          <w:szCs w:val="21"/>
          <w:highlight w:val="none"/>
          <w:lang w:eastAsia="zh-CN"/>
        </w:rPr>
        <w:t>，并装卸、交付至甲方</w:t>
      </w:r>
      <w:r>
        <w:rPr>
          <w:rFonts w:hint="eastAsia" w:ascii="宋体" w:hAnsi="宋体"/>
          <w:color w:val="000000"/>
          <w:szCs w:val="21"/>
          <w:highlight w:val="none"/>
        </w:rPr>
        <w:t>的一切运输事项，相关费用应</w:t>
      </w:r>
      <w:r>
        <w:rPr>
          <w:rFonts w:hint="eastAsia" w:ascii="宋体" w:hAnsi="宋体"/>
          <w:color w:val="000000"/>
          <w:szCs w:val="21"/>
          <w:highlight w:val="none"/>
          <w:lang w:eastAsia="zh-CN"/>
        </w:rPr>
        <w:t>包含</w:t>
      </w:r>
      <w:r>
        <w:rPr>
          <w:rFonts w:hint="eastAsia" w:ascii="宋体" w:hAnsi="宋体"/>
          <w:color w:val="000000"/>
          <w:szCs w:val="21"/>
          <w:highlight w:val="none"/>
        </w:rPr>
        <w:t>在合同</w:t>
      </w:r>
      <w:r>
        <w:rPr>
          <w:rFonts w:hint="eastAsia" w:ascii="宋体" w:hAnsi="宋体"/>
          <w:color w:val="000000"/>
          <w:szCs w:val="21"/>
          <w:highlight w:val="none"/>
          <w:lang w:eastAsia="zh-CN"/>
        </w:rPr>
        <w:t>价款</w:t>
      </w:r>
      <w:r>
        <w:rPr>
          <w:rFonts w:hint="eastAsia" w:ascii="宋体" w:hAnsi="宋体"/>
          <w:color w:val="000000"/>
          <w:szCs w:val="21"/>
          <w:highlight w:val="none"/>
        </w:rPr>
        <w:t>中。</w:t>
      </w:r>
    </w:p>
    <w:p w14:paraId="737FB7F7">
      <w:pPr>
        <w:adjustRightInd w:val="0"/>
        <w:snapToGrid w:val="0"/>
        <w:spacing w:before="0" w:line="400" w:lineRule="exact"/>
        <w:ind w:firstLine="400" w:firstLineChars="200"/>
        <w:jc w:val="left"/>
        <w:rPr>
          <w:rFonts w:ascii="宋体" w:hAnsi="宋体"/>
          <w:color w:val="000000"/>
          <w:szCs w:val="21"/>
          <w:highlight w:val="none"/>
        </w:rPr>
      </w:pPr>
      <w:r>
        <w:rPr>
          <w:rFonts w:hint="eastAsia" w:ascii="宋体" w:hAnsi="宋体"/>
          <w:color w:val="000000"/>
          <w:szCs w:val="21"/>
          <w:highlight w:val="none"/>
          <w:lang w:eastAsia="zh-CN"/>
        </w:rPr>
        <w:t>7</w:t>
      </w:r>
      <w:r>
        <w:rPr>
          <w:rFonts w:hint="eastAsia" w:ascii="宋体" w:hAnsi="宋体"/>
          <w:color w:val="000000"/>
          <w:szCs w:val="21"/>
          <w:highlight w:val="none"/>
        </w:rPr>
        <w:t>.3 货物保险要求按</w:t>
      </w:r>
      <w:r>
        <w:rPr>
          <w:rFonts w:hint="eastAsia" w:ascii="宋体" w:hAnsi="宋体"/>
          <w:b/>
          <w:color w:val="000000"/>
          <w:szCs w:val="21"/>
          <w:highlight w:val="none"/>
        </w:rPr>
        <w:t>【政府采购合同专用条款】</w:t>
      </w:r>
      <w:r>
        <w:rPr>
          <w:rFonts w:hint="eastAsia" w:ascii="宋体" w:hAnsi="宋体"/>
          <w:bCs/>
          <w:color w:val="000000"/>
          <w:szCs w:val="21"/>
          <w:highlight w:val="none"/>
        </w:rPr>
        <w:t>规定执行</w:t>
      </w:r>
      <w:r>
        <w:rPr>
          <w:rFonts w:hint="eastAsia" w:ascii="宋体" w:hAnsi="宋体"/>
          <w:color w:val="000000"/>
          <w:szCs w:val="21"/>
          <w:highlight w:val="none"/>
        </w:rPr>
        <w:t>。</w:t>
      </w:r>
    </w:p>
    <w:p w14:paraId="4B6D2ED0">
      <w:pPr>
        <w:autoSpaceDE w:val="0"/>
        <w:autoSpaceDN w:val="0"/>
        <w:adjustRightInd w:val="0"/>
        <w:snapToGrid w:val="0"/>
        <w:spacing w:before="0" w:line="400" w:lineRule="exact"/>
        <w:ind w:firstLine="400" w:firstLineChars="200"/>
        <w:jc w:val="left"/>
        <w:rPr>
          <w:rFonts w:hint="eastAsia" w:ascii="宋体" w:hAnsi="宋体"/>
          <w:color w:val="000000"/>
          <w:szCs w:val="21"/>
          <w:highlight w:val="none"/>
        </w:rPr>
      </w:pPr>
      <w:r>
        <w:rPr>
          <w:rFonts w:hint="eastAsia" w:ascii="宋体" w:hAnsi="宋体"/>
          <w:color w:val="000000"/>
          <w:szCs w:val="21"/>
          <w:highlight w:val="none"/>
          <w:lang w:eastAsia="zh-CN"/>
        </w:rPr>
        <w:t>7</w:t>
      </w:r>
      <w:r>
        <w:rPr>
          <w:rFonts w:hint="eastAsia" w:ascii="宋体" w:hAnsi="宋体"/>
          <w:color w:val="000000"/>
          <w:szCs w:val="21"/>
          <w:highlight w:val="none"/>
        </w:rPr>
        <w:t xml:space="preserve">.4 </w:t>
      </w:r>
      <w:r>
        <w:rPr>
          <w:rFonts w:hint="eastAsia" w:ascii="宋体" w:hAnsi="宋体"/>
          <w:color w:val="000000"/>
          <w:szCs w:val="21"/>
          <w:highlight w:val="none"/>
          <w:lang w:val="en-US" w:eastAsia="zh-CN"/>
        </w:rPr>
        <w:t>除采购活动</w:t>
      </w:r>
      <w:r>
        <w:rPr>
          <w:rFonts w:hint="eastAsia" w:ascii="宋体" w:hAnsi="宋体"/>
          <w:color w:val="000000"/>
          <w:szCs w:val="21"/>
          <w:highlight w:val="none"/>
        </w:rPr>
        <w:t>对商品包装</w:t>
      </w:r>
      <w:r>
        <w:rPr>
          <w:rFonts w:hint="eastAsia" w:ascii="宋体" w:hAnsi="宋体"/>
          <w:color w:val="000000"/>
          <w:szCs w:val="21"/>
          <w:highlight w:val="none"/>
          <w:lang w:eastAsia="zh-CN"/>
        </w:rPr>
        <w:t>、</w:t>
      </w:r>
      <w:r>
        <w:rPr>
          <w:rFonts w:hint="eastAsia" w:ascii="宋体" w:hAnsi="宋体"/>
          <w:color w:val="000000"/>
          <w:szCs w:val="21"/>
          <w:highlight w:val="none"/>
        </w:rPr>
        <w:t>快递包装</w:t>
      </w:r>
      <w:r>
        <w:rPr>
          <w:rFonts w:hint="eastAsia" w:ascii="宋体" w:hAnsi="宋体"/>
          <w:color w:val="000000"/>
          <w:szCs w:val="21"/>
          <w:highlight w:val="none"/>
          <w:lang w:val="en-US" w:eastAsia="zh-CN"/>
        </w:rPr>
        <w:t>达成具体约定外</w:t>
      </w:r>
      <w:r>
        <w:rPr>
          <w:rFonts w:hint="eastAsia" w:ascii="宋体" w:hAnsi="宋体"/>
          <w:color w:val="000000"/>
          <w:szCs w:val="21"/>
          <w:highlight w:val="none"/>
        </w:rPr>
        <w:t>，乙方提供产品及相关快递服务</w:t>
      </w:r>
      <w:r>
        <w:rPr>
          <w:rFonts w:hint="eastAsia" w:ascii="宋体" w:hAnsi="宋体"/>
          <w:color w:val="000000"/>
          <w:szCs w:val="21"/>
          <w:highlight w:val="none"/>
          <w:lang w:val="en-US" w:eastAsia="zh-CN"/>
        </w:rPr>
        <w:t>涉及到</w:t>
      </w:r>
      <w:r>
        <w:rPr>
          <w:rFonts w:hint="eastAsia" w:ascii="宋体" w:hAnsi="宋体"/>
          <w:color w:val="000000"/>
          <w:szCs w:val="21"/>
          <w:highlight w:val="none"/>
        </w:rPr>
        <w:t>具体包装要求</w:t>
      </w:r>
      <w:r>
        <w:rPr>
          <w:rFonts w:hint="eastAsia" w:ascii="宋体" w:hAnsi="宋体"/>
          <w:color w:val="000000"/>
          <w:szCs w:val="21"/>
          <w:highlight w:val="none"/>
          <w:lang w:val="en-US" w:eastAsia="zh-CN"/>
        </w:rPr>
        <w:t>的，</w:t>
      </w:r>
      <w:r>
        <w:rPr>
          <w:rFonts w:hint="eastAsia" w:ascii="宋体" w:hAnsi="宋体"/>
          <w:color w:val="000000"/>
          <w:szCs w:val="21"/>
          <w:highlight w:val="none"/>
        </w:rPr>
        <w:t>应</w:t>
      </w:r>
      <w:r>
        <w:rPr>
          <w:rFonts w:hint="eastAsia" w:ascii="宋体" w:hAnsi="宋体"/>
          <w:color w:val="000000"/>
          <w:szCs w:val="21"/>
          <w:highlight w:val="none"/>
          <w:lang w:val="en-US" w:eastAsia="zh-CN"/>
        </w:rPr>
        <w:t>不低于</w:t>
      </w:r>
      <w:r>
        <w:rPr>
          <w:rFonts w:hint="eastAsia" w:ascii="宋体" w:hAnsi="宋体"/>
          <w:color w:val="000000"/>
          <w:szCs w:val="21"/>
          <w:highlight w:val="none"/>
        </w:rPr>
        <w:t>《商品包装政府采购需求标准（试行）</w:t>
      </w:r>
      <w:r>
        <w:rPr>
          <w:rFonts w:hint="eastAsia" w:ascii="宋体" w:hAnsi="宋体"/>
          <w:color w:val="000000"/>
          <w:szCs w:val="21"/>
          <w:highlight w:val="none"/>
          <w:lang w:eastAsia="zh-CN"/>
        </w:rPr>
        <w:t>》《</w:t>
      </w:r>
      <w:r>
        <w:rPr>
          <w:rFonts w:hint="eastAsia" w:ascii="宋体" w:hAnsi="宋体"/>
          <w:color w:val="000000"/>
          <w:szCs w:val="21"/>
          <w:highlight w:val="none"/>
        </w:rPr>
        <w:t>快递包装政府采购需求标准（试行）》</w:t>
      </w:r>
      <w:r>
        <w:rPr>
          <w:rFonts w:hint="eastAsia" w:ascii="宋体" w:hAnsi="宋体"/>
          <w:color w:val="000000"/>
          <w:szCs w:val="21"/>
          <w:highlight w:val="none"/>
          <w:lang w:val="en-US" w:eastAsia="zh-CN"/>
        </w:rPr>
        <w:t>标准</w:t>
      </w:r>
      <w:r>
        <w:rPr>
          <w:rFonts w:hint="eastAsia" w:ascii="宋体" w:hAnsi="宋体"/>
          <w:color w:val="000000"/>
          <w:szCs w:val="21"/>
          <w:highlight w:val="none"/>
        </w:rPr>
        <w:t>，并作为履约验收的内容，必要时甲方可以要求乙方在履约验收环节出具检测报告。</w:t>
      </w:r>
    </w:p>
    <w:p w14:paraId="244FCBD4">
      <w:pPr>
        <w:autoSpaceDE w:val="0"/>
        <w:autoSpaceDN w:val="0"/>
        <w:adjustRightInd w:val="0"/>
        <w:snapToGrid w:val="0"/>
        <w:spacing w:before="0" w:line="400" w:lineRule="exact"/>
        <w:ind w:firstLine="400" w:firstLineChars="200"/>
        <w:jc w:val="left"/>
        <w:rPr>
          <w:rFonts w:hint="eastAsia" w:ascii="宋体" w:hAnsi="宋体"/>
          <w:color w:val="000000"/>
          <w:szCs w:val="21"/>
          <w:highlight w:val="none"/>
        </w:rPr>
      </w:pPr>
      <w:r>
        <w:rPr>
          <w:rFonts w:hint="eastAsia" w:ascii="宋体" w:hAnsi="宋体"/>
          <w:color w:val="000000"/>
          <w:szCs w:val="21"/>
          <w:highlight w:val="none"/>
          <w:lang w:val="en-US" w:eastAsia="zh-CN"/>
        </w:rPr>
        <w:t xml:space="preserve">7.5 </w:t>
      </w:r>
      <w:r>
        <w:rPr>
          <w:rFonts w:hint="eastAsia" w:ascii="宋体" w:hAnsi="宋体" w:eastAsia="宋体" w:cs="宋体"/>
          <w:color w:val="000000"/>
          <w:szCs w:val="21"/>
          <w:highlight w:val="none"/>
        </w:rPr>
        <w:t>乙方在运输到达之前</w:t>
      </w:r>
      <w:r>
        <w:rPr>
          <w:rFonts w:hint="eastAsia" w:ascii="宋体" w:hAnsi="宋体" w:cs="宋体"/>
          <w:color w:val="000000"/>
          <w:szCs w:val="21"/>
          <w:highlight w:val="none"/>
          <w:lang w:eastAsia="zh-CN"/>
        </w:rPr>
        <w:t>应</w:t>
      </w:r>
      <w:r>
        <w:rPr>
          <w:rFonts w:hint="eastAsia" w:ascii="宋体" w:hAnsi="宋体" w:eastAsia="宋体" w:cs="宋体"/>
          <w:color w:val="000000"/>
          <w:szCs w:val="21"/>
          <w:highlight w:val="none"/>
        </w:rPr>
        <w:t>提前通知</w:t>
      </w:r>
      <w:r>
        <w:rPr>
          <w:rFonts w:hint="eastAsia" w:ascii="宋体" w:hAnsi="宋体" w:cs="宋体"/>
          <w:color w:val="000000"/>
          <w:szCs w:val="21"/>
          <w:highlight w:val="none"/>
          <w:lang w:eastAsia="zh-CN"/>
        </w:rPr>
        <w:t>甲方</w:t>
      </w:r>
      <w:r>
        <w:rPr>
          <w:rFonts w:hint="eastAsia" w:ascii="宋体" w:hAnsi="宋体" w:eastAsia="宋体" w:cs="宋体"/>
          <w:color w:val="000000"/>
          <w:szCs w:val="21"/>
          <w:highlight w:val="none"/>
        </w:rPr>
        <w:t>，并提示货物运输装卸的注意事项</w:t>
      </w:r>
      <w:r>
        <w:rPr>
          <w:rFonts w:hint="eastAsia" w:ascii="宋体" w:hAnsi="宋体" w:cs="宋体"/>
          <w:color w:val="000000"/>
          <w:szCs w:val="21"/>
          <w:highlight w:val="none"/>
          <w:lang w:eastAsia="zh-CN"/>
        </w:rPr>
        <w:t>，甲方配合乙方做好货物的接收工作。</w:t>
      </w:r>
    </w:p>
    <w:p w14:paraId="726C05F8">
      <w:pPr>
        <w:pStyle w:val="148"/>
        <w:rPr>
          <w:rFonts w:hint="default" w:eastAsia="华文楷体"/>
          <w:sz w:val="21"/>
          <w:highlight w:val="none"/>
          <w:lang w:val="en-US" w:eastAsia="zh-CN"/>
        </w:rPr>
      </w:pPr>
      <w:r>
        <w:rPr>
          <w:rFonts w:hint="eastAsia" w:ascii="宋体" w:hAnsi="宋体" w:eastAsia="宋体" w:cs="Times New Roman"/>
          <w:color w:val="000000"/>
          <w:kern w:val="2"/>
          <w:sz w:val="21"/>
          <w:szCs w:val="21"/>
          <w:highlight w:val="none"/>
          <w:lang w:val="en-US" w:eastAsia="zh-CN"/>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kern w:val="2"/>
          <w:sz w:val="21"/>
          <w:szCs w:val="21"/>
          <w:highlight w:val="none"/>
          <w:lang w:eastAsia="zh-CN"/>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40634541">
      <w:pPr>
        <w:adjustRightInd w:val="0"/>
        <w:snapToGrid w:val="0"/>
        <w:spacing w:before="0" w:line="400" w:lineRule="exact"/>
        <w:jc w:val="left"/>
        <w:rPr>
          <w:rFonts w:ascii="宋体" w:hAnsi="宋体"/>
          <w:b/>
          <w:color w:val="auto"/>
          <w:sz w:val="24"/>
          <w:highlight w:val="none"/>
        </w:rPr>
      </w:pPr>
      <w:r>
        <w:rPr>
          <w:rFonts w:hint="eastAsia" w:ascii="宋体" w:hAnsi="宋体"/>
          <w:b/>
          <w:color w:val="000000"/>
          <w:sz w:val="24"/>
          <w:highlight w:val="none"/>
          <w:lang w:eastAsia="zh-CN"/>
        </w:rPr>
        <w:t>8</w:t>
      </w:r>
      <w:r>
        <w:rPr>
          <w:rFonts w:hint="eastAsia" w:ascii="宋体" w:hAnsi="宋体"/>
          <w:b/>
          <w:color w:val="000000"/>
          <w:sz w:val="24"/>
          <w:highlight w:val="none"/>
          <w:lang w:val="en-US" w:eastAsia="zh-CN"/>
        </w:rPr>
        <w:t xml:space="preserve">. </w:t>
      </w:r>
      <w:r>
        <w:rPr>
          <w:rFonts w:hint="eastAsia" w:ascii="宋体" w:hAnsi="宋体"/>
          <w:b/>
          <w:color w:val="auto"/>
          <w:sz w:val="24"/>
          <w:highlight w:val="none"/>
        </w:rPr>
        <w:t>质量标准和保证</w:t>
      </w:r>
    </w:p>
    <w:p w14:paraId="71E24D86">
      <w:pPr>
        <w:pStyle w:val="23"/>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4D211452">
      <w:pPr>
        <w:autoSpaceDE w:val="0"/>
        <w:autoSpaceDN w:val="0"/>
        <w:adjustRightInd w:val="0"/>
        <w:snapToGrid w:val="0"/>
        <w:spacing w:before="0" w:line="400" w:lineRule="exact"/>
        <w:ind w:firstLine="40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highlight w:val="none"/>
          <w:lang w:eastAsia="zh-CN"/>
        </w:rPr>
        <w:t>约</w:t>
      </w:r>
      <w:r>
        <w:rPr>
          <w:rFonts w:hint="eastAsia" w:ascii="宋体" w:hAnsi="宋体" w:eastAsia="宋体" w:cs="宋体"/>
          <w:color w:val="000000"/>
          <w:szCs w:val="21"/>
          <w:highlight w:val="none"/>
        </w:rPr>
        <w:t>定的</w:t>
      </w:r>
      <w:r>
        <w:rPr>
          <w:rFonts w:hint="eastAsia" w:ascii="宋体" w:hAnsi="宋体" w:eastAsia="宋体" w:cs="宋体"/>
          <w:szCs w:val="21"/>
          <w:highlight w:val="none"/>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4B06BD08">
      <w:pPr>
        <w:pStyle w:val="23"/>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7EEE9DF7">
      <w:pPr>
        <w:autoSpaceDE w:val="0"/>
        <w:autoSpaceDN w:val="0"/>
        <w:adjustRightInd w:val="0"/>
        <w:snapToGrid w:val="0"/>
        <w:spacing w:before="0" w:line="400" w:lineRule="exact"/>
        <w:ind w:firstLine="40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4327D4B4">
      <w:pPr>
        <w:autoSpaceDE w:val="0"/>
        <w:autoSpaceDN w:val="0"/>
        <w:adjustRightInd w:val="0"/>
        <w:snapToGrid w:val="0"/>
        <w:spacing w:before="0" w:line="400" w:lineRule="exact"/>
        <w:ind w:firstLine="40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524D1861">
      <w:pPr>
        <w:autoSpaceDE w:val="0"/>
        <w:autoSpaceDN w:val="0"/>
        <w:adjustRightInd w:val="0"/>
        <w:snapToGrid w:val="0"/>
        <w:spacing w:before="0" w:line="400" w:lineRule="exact"/>
        <w:ind w:firstLine="40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41E04EAC">
      <w:pPr>
        <w:autoSpaceDE w:val="0"/>
        <w:autoSpaceDN w:val="0"/>
        <w:adjustRightInd w:val="0"/>
        <w:snapToGrid w:val="0"/>
        <w:spacing w:before="0" w:line="400" w:lineRule="exact"/>
        <w:ind w:firstLine="40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highlight w:val="none"/>
        </w:rPr>
        <w:t>在其使用寿命期内具</w:t>
      </w:r>
      <w:r>
        <w:rPr>
          <w:rFonts w:hint="eastAsia" w:ascii="宋体" w:hAnsi="宋体" w:cs="宋体"/>
          <w:szCs w:val="21"/>
          <w:highlight w:val="none"/>
          <w:lang w:eastAsia="zh-CN"/>
        </w:rPr>
        <w:t>备合同约定</w:t>
      </w:r>
      <w:r>
        <w:rPr>
          <w:rFonts w:hint="eastAsia" w:ascii="宋体" w:hAnsi="宋体" w:eastAsia="宋体" w:cs="宋体"/>
          <w:szCs w:val="21"/>
          <w:highlight w:val="none"/>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5967C461">
      <w:pPr>
        <w:autoSpaceDE w:val="0"/>
        <w:autoSpaceDN w:val="0"/>
        <w:adjustRightInd w:val="0"/>
        <w:snapToGrid w:val="0"/>
        <w:spacing w:before="0" w:line="400" w:lineRule="exact"/>
        <w:ind w:firstLine="40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7E115C7E">
      <w:pPr>
        <w:autoSpaceDE w:val="0"/>
        <w:autoSpaceDN w:val="0"/>
        <w:adjustRightInd w:val="0"/>
        <w:snapToGrid w:val="0"/>
        <w:spacing w:before="0" w:line="400" w:lineRule="exact"/>
        <w:ind w:firstLine="40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6211612B">
      <w:pPr>
        <w:autoSpaceDE w:val="0"/>
        <w:autoSpaceDN w:val="0"/>
        <w:adjustRightInd w:val="0"/>
        <w:snapToGrid w:val="0"/>
        <w:spacing w:before="0" w:line="400" w:lineRule="exact"/>
        <w:ind w:firstLine="40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000000"/>
          <w:szCs w:val="21"/>
          <w:highlight w:val="none"/>
          <w:lang w:eastAsia="zh-CN"/>
        </w:rPr>
        <w:t>追究</w:t>
      </w:r>
      <w:r>
        <w:rPr>
          <w:rFonts w:hint="eastAsia" w:ascii="宋体" w:hAnsi="宋体"/>
          <w:color w:val="auto"/>
          <w:szCs w:val="21"/>
          <w:highlight w:val="none"/>
        </w:rPr>
        <w:t>乙方</w:t>
      </w:r>
      <w:r>
        <w:rPr>
          <w:rFonts w:hint="eastAsia" w:ascii="宋体" w:hAnsi="宋体"/>
          <w:color w:val="000000"/>
          <w:szCs w:val="21"/>
          <w:highlight w:val="none"/>
          <w:lang w:eastAsia="zh-CN"/>
        </w:rPr>
        <w:t>的违约责任</w:t>
      </w:r>
      <w:r>
        <w:rPr>
          <w:rFonts w:hint="eastAsia" w:ascii="宋体" w:hAnsi="宋体"/>
          <w:color w:val="auto"/>
          <w:szCs w:val="21"/>
          <w:highlight w:val="none"/>
        </w:rPr>
        <w:t>。</w:t>
      </w:r>
    </w:p>
    <w:p w14:paraId="102D469A">
      <w:pPr>
        <w:adjustRightInd w:val="0"/>
        <w:snapToGrid w:val="0"/>
        <w:spacing w:before="0" w:line="400" w:lineRule="exact"/>
        <w:ind w:firstLine="40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690BD4AC">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sz w:val="24"/>
          <w:highlight w:val="none"/>
          <w:lang w:eastAsia="zh-CN"/>
        </w:rPr>
        <w:t>9</w:t>
      </w:r>
      <w:r>
        <w:rPr>
          <w:rFonts w:hint="eastAsia" w:ascii="宋体" w:hAnsi="宋体"/>
          <w:b/>
          <w:bCs/>
          <w:color w:val="auto"/>
          <w:sz w:val="24"/>
          <w:highlight w:val="none"/>
        </w:rPr>
        <w:t>.</w:t>
      </w:r>
      <w:r>
        <w:rPr>
          <w:rFonts w:hint="eastAsia" w:ascii="宋体" w:hAnsi="宋体"/>
          <w:b/>
          <w:bCs/>
          <w:color w:val="000000"/>
          <w:sz w:val="24"/>
          <w:highlight w:val="none"/>
          <w:lang w:val="en-US" w:eastAsia="zh-CN"/>
        </w:rPr>
        <w:t xml:space="preserve"> </w:t>
      </w:r>
      <w:r>
        <w:rPr>
          <w:rFonts w:hint="eastAsia" w:ascii="宋体" w:hAnsi="宋体"/>
          <w:b/>
          <w:bCs/>
          <w:color w:val="auto"/>
          <w:sz w:val="24"/>
          <w:highlight w:val="none"/>
        </w:rPr>
        <w:t>权利瑕疵担保</w:t>
      </w:r>
    </w:p>
    <w:p w14:paraId="1B2A2A7C">
      <w:pPr>
        <w:autoSpaceDE w:val="0"/>
        <w:autoSpaceDN w:val="0"/>
        <w:adjustRightInd w:val="0"/>
        <w:snapToGrid w:val="0"/>
        <w:spacing w:before="0" w:line="400" w:lineRule="exact"/>
        <w:ind w:firstLine="400" w:firstLineChars="200"/>
        <w:jc w:val="left"/>
        <w:rPr>
          <w:rFonts w:ascii="宋体" w:hAnsi="宋体"/>
          <w:color w:val="000000"/>
          <w:szCs w:val="21"/>
          <w:highlight w:val="none"/>
        </w:rPr>
      </w:pPr>
      <w:r>
        <w:rPr>
          <w:rFonts w:hint="eastAsia" w:ascii="宋体" w:hAnsi="宋体"/>
          <w:color w:val="000000"/>
          <w:szCs w:val="21"/>
          <w:highlight w:val="none"/>
          <w:lang w:eastAsia="zh-CN"/>
        </w:rPr>
        <w:t>9</w:t>
      </w:r>
      <w:r>
        <w:rPr>
          <w:rFonts w:hint="eastAsia" w:ascii="宋体" w:hAnsi="宋体"/>
          <w:color w:val="000000"/>
          <w:szCs w:val="21"/>
          <w:highlight w:val="none"/>
        </w:rPr>
        <w:t>.1 乙方保证对其出售的货物享有合法的权利。</w:t>
      </w:r>
    </w:p>
    <w:p w14:paraId="3AC06439">
      <w:pPr>
        <w:autoSpaceDE w:val="0"/>
        <w:autoSpaceDN w:val="0"/>
        <w:adjustRightInd w:val="0"/>
        <w:snapToGrid w:val="0"/>
        <w:spacing w:before="0" w:line="400" w:lineRule="exact"/>
        <w:ind w:firstLine="400" w:firstLineChars="200"/>
        <w:jc w:val="left"/>
        <w:rPr>
          <w:rFonts w:ascii="宋体" w:hAnsi="宋体"/>
          <w:color w:val="000000"/>
          <w:szCs w:val="21"/>
          <w:highlight w:val="none"/>
        </w:rPr>
      </w:pPr>
      <w:r>
        <w:rPr>
          <w:rFonts w:hint="eastAsia" w:ascii="宋体" w:hAnsi="宋体"/>
          <w:color w:val="000000"/>
          <w:szCs w:val="21"/>
          <w:highlight w:val="none"/>
          <w:lang w:eastAsia="zh-CN"/>
        </w:rPr>
        <w:t>9</w:t>
      </w:r>
      <w:r>
        <w:rPr>
          <w:rFonts w:hint="eastAsia" w:ascii="宋体" w:hAnsi="宋体"/>
          <w:color w:val="000000"/>
          <w:szCs w:val="21"/>
          <w:highlight w:val="none"/>
        </w:rPr>
        <w:t xml:space="preserve">.2 </w:t>
      </w:r>
      <w:r>
        <w:rPr>
          <w:rFonts w:hint="eastAsia" w:ascii="宋体" w:hAnsi="宋体" w:eastAsia="宋体" w:cs="宋体"/>
          <w:szCs w:val="15"/>
          <w:highlight w:val="none"/>
        </w:rPr>
        <w:t>乙方保证在交付的货物上不存在抵押权等担保物权。</w:t>
      </w:r>
    </w:p>
    <w:p w14:paraId="6A88EDD0">
      <w:pPr>
        <w:autoSpaceDE w:val="0"/>
        <w:autoSpaceDN w:val="0"/>
        <w:adjustRightInd w:val="0"/>
        <w:snapToGrid w:val="0"/>
        <w:spacing w:before="0" w:line="400" w:lineRule="exact"/>
        <w:ind w:firstLine="400" w:firstLineChars="200"/>
        <w:jc w:val="left"/>
        <w:rPr>
          <w:rFonts w:ascii="宋体" w:hAnsi="宋体"/>
          <w:color w:val="000000"/>
          <w:szCs w:val="21"/>
          <w:highlight w:val="none"/>
        </w:rPr>
      </w:pPr>
      <w:r>
        <w:rPr>
          <w:rFonts w:hint="eastAsia" w:ascii="宋体" w:hAnsi="宋体"/>
          <w:color w:val="000000"/>
          <w:szCs w:val="21"/>
          <w:highlight w:val="none"/>
          <w:lang w:eastAsia="zh-CN"/>
        </w:rPr>
        <w:t>9</w:t>
      </w:r>
      <w:r>
        <w:rPr>
          <w:rFonts w:hint="eastAsia" w:ascii="宋体" w:hAnsi="宋体"/>
          <w:color w:val="000000"/>
          <w:szCs w:val="21"/>
          <w:highlight w:val="none"/>
        </w:rPr>
        <w:t>.3 如甲方使用</w:t>
      </w:r>
      <w:r>
        <w:rPr>
          <w:rFonts w:hint="eastAsia" w:ascii="宋体" w:hAnsi="宋体"/>
          <w:color w:val="000000"/>
          <w:szCs w:val="21"/>
          <w:highlight w:val="none"/>
          <w:lang w:val="en-US" w:eastAsia="zh-CN"/>
        </w:rPr>
        <w:t>上述</w:t>
      </w:r>
      <w:r>
        <w:rPr>
          <w:rFonts w:hint="eastAsia" w:ascii="宋体" w:hAnsi="宋体"/>
          <w:color w:val="000000"/>
          <w:szCs w:val="21"/>
          <w:highlight w:val="none"/>
        </w:rPr>
        <w:t>货物构成</w:t>
      </w:r>
      <w:r>
        <w:rPr>
          <w:rFonts w:hint="eastAsia" w:ascii="宋体" w:hAnsi="宋体"/>
          <w:color w:val="000000"/>
          <w:szCs w:val="21"/>
          <w:highlight w:val="none"/>
          <w:lang w:val="en-US" w:eastAsia="zh-CN"/>
        </w:rPr>
        <w:t>对第三人</w:t>
      </w:r>
      <w:r>
        <w:rPr>
          <w:rFonts w:hint="eastAsia" w:ascii="宋体" w:hAnsi="宋体"/>
          <w:color w:val="000000"/>
          <w:szCs w:val="21"/>
          <w:highlight w:val="none"/>
        </w:rPr>
        <w:t>侵权的，则由乙方承担全部责任。</w:t>
      </w:r>
    </w:p>
    <w:p w14:paraId="08C3D829">
      <w:pPr>
        <w:autoSpaceDE w:val="0"/>
        <w:autoSpaceDN w:val="0"/>
        <w:adjustRightInd w:val="0"/>
        <w:snapToGrid w:val="0"/>
        <w:spacing w:before="0" w:line="400" w:lineRule="exact"/>
        <w:jc w:val="left"/>
        <w:rPr>
          <w:rFonts w:ascii="宋体" w:hAnsi="宋体"/>
          <w:b/>
          <w:bCs/>
          <w:color w:val="000000"/>
          <w:sz w:val="24"/>
          <w:highlight w:val="none"/>
        </w:rPr>
      </w:pPr>
      <w:r>
        <w:rPr>
          <w:rFonts w:hint="eastAsia" w:ascii="宋体" w:hAnsi="宋体"/>
          <w:b/>
          <w:bCs/>
          <w:color w:val="000000"/>
          <w:sz w:val="24"/>
          <w:highlight w:val="none"/>
        </w:rPr>
        <w:t>1</w:t>
      </w:r>
      <w:r>
        <w:rPr>
          <w:rFonts w:hint="eastAsia" w:ascii="宋体" w:hAnsi="宋体"/>
          <w:b/>
          <w:bCs/>
          <w:color w:val="000000"/>
          <w:sz w:val="24"/>
          <w:highlight w:val="none"/>
          <w:lang w:eastAsia="zh-CN"/>
        </w:rPr>
        <w:t>0</w:t>
      </w:r>
      <w:r>
        <w:rPr>
          <w:rFonts w:hint="eastAsia" w:ascii="宋体" w:hAnsi="宋体"/>
          <w:b/>
          <w:bCs/>
          <w:color w:val="000000"/>
          <w:sz w:val="24"/>
          <w:highlight w:val="none"/>
        </w:rPr>
        <w:t>.</w:t>
      </w:r>
      <w:r>
        <w:rPr>
          <w:rFonts w:hint="eastAsia" w:ascii="宋体" w:hAnsi="宋体"/>
          <w:b/>
          <w:bCs/>
          <w:color w:val="000000"/>
          <w:sz w:val="24"/>
          <w:highlight w:val="none"/>
          <w:lang w:val="en-US" w:eastAsia="zh-CN"/>
        </w:rPr>
        <w:t xml:space="preserve"> </w:t>
      </w:r>
      <w:r>
        <w:rPr>
          <w:rFonts w:hint="eastAsia" w:ascii="宋体" w:hAnsi="宋体"/>
          <w:b/>
          <w:bCs/>
          <w:color w:val="000000"/>
          <w:sz w:val="24"/>
          <w:highlight w:val="none"/>
        </w:rPr>
        <w:t>知识产权保护</w:t>
      </w:r>
    </w:p>
    <w:p w14:paraId="0DF62814">
      <w:pPr>
        <w:autoSpaceDE w:val="0"/>
        <w:autoSpaceDN w:val="0"/>
        <w:adjustRightInd w:val="0"/>
        <w:snapToGrid w:val="0"/>
        <w:spacing w:before="0" w:line="400" w:lineRule="exact"/>
        <w:ind w:firstLine="400" w:firstLineChars="200"/>
        <w:jc w:val="left"/>
        <w:rPr>
          <w:rFonts w:ascii="宋体" w:hAnsi="宋体"/>
          <w:color w:val="auto"/>
          <w:szCs w:val="21"/>
          <w:highlight w:val="none"/>
        </w:rPr>
      </w:pPr>
      <w:r>
        <w:rPr>
          <w:rFonts w:hint="eastAsia" w:ascii="宋体" w:hAnsi="宋体"/>
          <w:color w:val="000000"/>
          <w:szCs w:val="21"/>
          <w:highlight w:val="none"/>
        </w:rPr>
        <w:t>1</w:t>
      </w:r>
      <w:r>
        <w:rPr>
          <w:rFonts w:hint="eastAsia" w:ascii="宋体" w:hAnsi="宋体"/>
          <w:color w:val="000000"/>
          <w:szCs w:val="21"/>
          <w:highlight w:val="none"/>
          <w:lang w:eastAsia="zh-CN"/>
        </w:rPr>
        <w:t>0</w:t>
      </w:r>
      <w:r>
        <w:rPr>
          <w:rFonts w:hint="eastAsia" w:ascii="宋体" w:hAnsi="宋体"/>
          <w:color w:val="000000"/>
          <w:szCs w:val="21"/>
          <w:highlight w:val="none"/>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47" w:name="_Hlk163047038"/>
      <w:r>
        <w:rPr>
          <w:rFonts w:hint="eastAsia" w:ascii="宋体" w:hAnsi="宋体" w:eastAsia="宋体" w:cs="宋体"/>
          <w:szCs w:val="15"/>
          <w:highlight w:val="none"/>
        </w:rPr>
        <w:t>因违反前述约定对第三人构成侵权的，应当由乙方向第三人承担法律责任；甲方依法向第三人赔偿后，有权向乙方追偿。甲方有其他损失的，乙方应当赔偿</w:t>
      </w:r>
      <w:bookmarkEnd w:id="47"/>
      <w:r>
        <w:rPr>
          <w:rFonts w:hint="eastAsia" w:ascii="宋体" w:hAnsi="宋体"/>
          <w:color w:val="auto"/>
          <w:szCs w:val="21"/>
          <w:highlight w:val="none"/>
        </w:rPr>
        <w:t>。</w:t>
      </w:r>
    </w:p>
    <w:p w14:paraId="2AD2A7E4">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720FC042">
      <w:pPr>
        <w:autoSpaceDE w:val="0"/>
        <w:autoSpaceDN w:val="0"/>
        <w:adjustRightInd w:val="0"/>
        <w:snapToGrid w:val="0"/>
        <w:spacing w:before="0" w:line="400" w:lineRule="exact"/>
        <w:ind w:firstLine="400" w:firstLineChars="200"/>
        <w:jc w:val="left"/>
        <w:rPr>
          <w:rFonts w:hint="eastAsia" w:ascii="宋体" w:hAnsi="宋体" w:eastAsia="宋体" w:cs="宋体"/>
          <w:szCs w:val="15"/>
          <w:highlight w:val="none"/>
        </w:rPr>
      </w:pPr>
      <w:r>
        <w:rPr>
          <w:rFonts w:hint="eastAsia" w:ascii="宋体" w:hAnsi="宋体" w:cs="宋体"/>
          <w:szCs w:val="15"/>
          <w:highlight w:val="none"/>
          <w:lang w:val="en-US" w:eastAsia="zh-CN"/>
        </w:rPr>
        <w:t xml:space="preserve">11.1 </w:t>
      </w:r>
      <w:r>
        <w:rPr>
          <w:rFonts w:hint="eastAsia" w:ascii="宋体" w:hAnsi="宋体" w:eastAsia="宋体" w:cs="宋体"/>
          <w:szCs w:val="15"/>
          <w:highlight w:val="none"/>
        </w:rPr>
        <w:t>甲、乙双方</w:t>
      </w:r>
      <w:r>
        <w:rPr>
          <w:rFonts w:hint="eastAsia" w:ascii="宋体" w:hAnsi="宋体" w:cs="宋体"/>
          <w:szCs w:val="15"/>
          <w:highlight w:val="none"/>
          <w:lang w:eastAsia="zh-CN"/>
        </w:rPr>
        <w:t>对</w:t>
      </w:r>
      <w:r>
        <w:rPr>
          <w:rFonts w:hint="eastAsia" w:ascii="宋体" w:hAnsi="宋体" w:eastAsia="宋体" w:cs="宋体"/>
          <w:szCs w:val="15"/>
          <w:highlight w:val="none"/>
        </w:rPr>
        <w:t>采购和合同履行过程中所获悉的</w:t>
      </w:r>
      <w:r>
        <w:rPr>
          <w:rFonts w:hint="eastAsia" w:ascii="宋体" w:hAnsi="宋体" w:cs="宋体"/>
          <w:szCs w:val="15"/>
          <w:highlight w:val="none"/>
          <w:lang w:eastAsia="zh-CN"/>
        </w:rPr>
        <w:t>国家秘密、工作秘密、</w:t>
      </w:r>
      <w:r>
        <w:rPr>
          <w:rFonts w:hint="eastAsia" w:ascii="宋体" w:hAnsi="宋体" w:eastAsia="宋体" w:cs="宋体"/>
          <w:szCs w:val="15"/>
          <w:highlight w:val="none"/>
        </w:rPr>
        <w:t>商业秘密或者其他应当保密的信息，均有保密义务</w:t>
      </w:r>
      <w:r>
        <w:rPr>
          <w:rFonts w:hint="eastAsia" w:ascii="宋体" w:hAnsi="宋体" w:cs="宋体"/>
          <w:szCs w:val="15"/>
          <w:highlight w:val="none"/>
          <w:lang w:eastAsia="zh-CN"/>
        </w:rPr>
        <w:t>且不受合同有效期所限，直至该信息成为公开信息</w:t>
      </w:r>
      <w:r>
        <w:rPr>
          <w:rFonts w:hint="eastAsia" w:ascii="宋体" w:hAnsi="宋体" w:eastAsia="宋体" w:cs="宋体"/>
          <w:szCs w:val="15"/>
          <w:highlight w:val="none"/>
        </w:rPr>
        <w:t>。泄露、不正当地使用</w:t>
      </w:r>
      <w:r>
        <w:rPr>
          <w:rFonts w:hint="eastAsia" w:ascii="宋体" w:hAnsi="宋体" w:cs="宋体"/>
          <w:szCs w:val="15"/>
          <w:highlight w:val="none"/>
          <w:lang w:eastAsia="zh-CN"/>
        </w:rPr>
        <w:t>国家秘密、工作秘密、</w:t>
      </w:r>
      <w:r>
        <w:rPr>
          <w:rFonts w:hint="eastAsia" w:ascii="宋体" w:hAnsi="宋体" w:eastAsia="宋体" w:cs="宋体"/>
          <w:szCs w:val="15"/>
          <w:highlight w:val="none"/>
        </w:rPr>
        <w:t>商业秘密或者</w:t>
      </w:r>
      <w:r>
        <w:rPr>
          <w:rFonts w:hint="eastAsia" w:ascii="宋体" w:hAnsi="宋体" w:cs="宋体"/>
          <w:szCs w:val="15"/>
          <w:highlight w:val="none"/>
          <w:lang w:eastAsia="zh-CN"/>
        </w:rPr>
        <w:t>其他应当保密的</w:t>
      </w:r>
      <w:r>
        <w:rPr>
          <w:rFonts w:hint="eastAsia" w:ascii="宋体" w:hAnsi="宋体" w:eastAsia="宋体" w:cs="宋体"/>
          <w:szCs w:val="15"/>
          <w:highlight w:val="none"/>
        </w:rPr>
        <w:t>信息，应当承担</w:t>
      </w:r>
      <w:r>
        <w:rPr>
          <w:rFonts w:hint="eastAsia" w:ascii="宋体" w:hAnsi="宋体" w:cs="宋体"/>
          <w:szCs w:val="15"/>
          <w:highlight w:val="none"/>
          <w:lang w:eastAsia="zh-CN"/>
        </w:rPr>
        <w:t>相应</w:t>
      </w:r>
      <w:r>
        <w:rPr>
          <w:rFonts w:hint="eastAsia" w:ascii="宋体" w:hAnsi="宋体" w:eastAsia="宋体" w:cs="宋体"/>
          <w:szCs w:val="15"/>
          <w:highlight w:val="none"/>
        </w:rPr>
        <w:t>责任。其他应当保密的信息由双方在</w:t>
      </w:r>
      <w:r>
        <w:rPr>
          <w:rFonts w:hint="eastAsia" w:ascii="宋体" w:hAnsi="宋体" w:eastAsia="宋体" w:cs="宋体"/>
          <w:b/>
          <w:bCs/>
          <w:szCs w:val="15"/>
          <w:highlight w:val="none"/>
        </w:rPr>
        <w:t>【政府采购合同专用条款】</w:t>
      </w:r>
      <w:r>
        <w:rPr>
          <w:rFonts w:hint="eastAsia" w:ascii="宋体" w:hAnsi="宋体" w:eastAsia="宋体" w:cs="宋体"/>
          <w:szCs w:val="15"/>
          <w:highlight w:val="none"/>
        </w:rPr>
        <w:t>中约定。</w:t>
      </w:r>
    </w:p>
    <w:p w14:paraId="6230994E">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530F49D1">
      <w:pPr>
        <w:autoSpaceDE/>
        <w:autoSpaceDN/>
        <w:adjustRightInd w:val="0"/>
        <w:snapToGrid w:val="0"/>
        <w:spacing w:before="0" w:line="400" w:lineRule="exact"/>
        <w:ind w:firstLine="40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73136DB7">
      <w:pPr>
        <w:pStyle w:val="5"/>
        <w:spacing w:line="400" w:lineRule="exact"/>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color="auto" w:fill="auto"/>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1437D5F8">
      <w:pPr>
        <w:pStyle w:val="3"/>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6343FEB8">
      <w:pPr>
        <w:adjustRightInd w:val="0"/>
        <w:snapToGrid w:val="0"/>
        <w:spacing w:before="0" w:line="400" w:lineRule="exact"/>
        <w:ind w:firstLine="40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highlight w:val="none"/>
        </w:rPr>
        <w:t>乙方应当以支票、汇票、本票或者金融机构、担保机构出具的保函等非现金形式提交。</w:t>
      </w:r>
    </w:p>
    <w:p w14:paraId="17BF555C">
      <w:pPr>
        <w:adjustRightInd w:val="0"/>
        <w:snapToGrid w:val="0"/>
        <w:spacing w:before="0" w:line="400" w:lineRule="exact"/>
        <w:ind w:firstLine="40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1A5DBB9D">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1823A75D">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7C7B6F1F">
      <w:pPr>
        <w:autoSpaceDE w:val="0"/>
        <w:autoSpaceDN w:val="0"/>
        <w:adjustRightInd w:val="0"/>
        <w:snapToGrid w:val="0"/>
        <w:spacing w:before="0" w:line="400" w:lineRule="exact"/>
        <w:ind w:firstLine="40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01583B28">
      <w:pPr>
        <w:autoSpaceDE w:val="0"/>
        <w:autoSpaceDN w:val="0"/>
        <w:adjustRightInd w:val="0"/>
        <w:snapToGrid w:val="0"/>
        <w:spacing w:before="0" w:line="400" w:lineRule="exact"/>
        <w:ind w:firstLine="40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3569F1B4">
      <w:pPr>
        <w:autoSpaceDE w:val="0"/>
        <w:autoSpaceDN w:val="0"/>
        <w:adjustRightInd w:val="0"/>
        <w:snapToGrid w:val="0"/>
        <w:spacing w:before="0" w:line="400" w:lineRule="exact"/>
        <w:ind w:firstLine="40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477ACD28">
      <w:pPr>
        <w:autoSpaceDE w:val="0"/>
        <w:autoSpaceDN w:val="0"/>
        <w:adjustRightInd w:val="0"/>
        <w:snapToGrid w:val="0"/>
        <w:spacing w:before="0" w:line="400" w:lineRule="exact"/>
        <w:ind w:firstLine="40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076952E8">
      <w:pPr>
        <w:autoSpaceDE w:val="0"/>
        <w:autoSpaceDN w:val="0"/>
        <w:adjustRightInd w:val="0"/>
        <w:snapToGrid w:val="0"/>
        <w:spacing w:before="0" w:line="400" w:lineRule="exact"/>
        <w:ind w:firstLine="40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highlight w:val="none"/>
          <w:lang w:eastAsia="zh-CN"/>
        </w:rPr>
        <w:t>；</w:t>
      </w:r>
    </w:p>
    <w:p w14:paraId="2F4659F9">
      <w:pPr>
        <w:pStyle w:val="148"/>
        <w:rPr>
          <w:rFonts w:hint="eastAsia" w:ascii="宋体" w:hAnsi="宋体" w:eastAsia="宋体" w:cs="宋体"/>
          <w:sz w:val="21"/>
          <w:szCs w:val="21"/>
          <w:highlight w:val="none"/>
        </w:rPr>
      </w:pPr>
      <w:r>
        <w:rPr>
          <w:rFonts w:hint="eastAsia" w:ascii="宋体" w:hAnsi="宋体" w:eastAsia="宋体" w:cs="宋体"/>
          <w:sz w:val="21"/>
          <w:szCs w:val="21"/>
          <w:highlight w:val="none"/>
        </w:rPr>
        <w:t>（5）依照法律、行政法规的规定或者按照</w:t>
      </w:r>
      <w:r>
        <w:rPr>
          <w:rFonts w:hint="eastAsia" w:ascii="宋体" w:hAnsi="宋体" w:eastAsia="宋体" w:cs="宋体"/>
          <w:b/>
          <w:bCs/>
          <w:sz w:val="21"/>
          <w:szCs w:val="21"/>
          <w:highlight w:val="none"/>
        </w:rPr>
        <w:t>【政府采购合同专用条款】</w:t>
      </w:r>
      <w:r>
        <w:rPr>
          <w:rFonts w:hint="eastAsia" w:ascii="宋体" w:hAnsi="宋体" w:eastAsia="宋体" w:cs="宋体"/>
          <w:sz w:val="21"/>
          <w:szCs w:val="21"/>
          <w:highlight w:val="none"/>
        </w:rPr>
        <w:t>约定，货物在有效使用年限届满后应予回收的，乙方负有自行或者委托第三人对货物予以回收的义务；</w:t>
      </w:r>
    </w:p>
    <w:p w14:paraId="7C20FC45">
      <w:pPr>
        <w:autoSpaceDE w:val="0"/>
        <w:autoSpaceDN w:val="0"/>
        <w:adjustRightInd w:val="0"/>
        <w:snapToGrid w:val="0"/>
        <w:spacing w:before="0" w:line="400" w:lineRule="exact"/>
        <w:ind w:firstLine="40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78C2F7C3">
      <w:pPr>
        <w:autoSpaceDE w:val="0"/>
        <w:autoSpaceDN w:val="0"/>
        <w:adjustRightInd w:val="0"/>
        <w:snapToGrid w:val="0"/>
        <w:spacing w:before="0" w:line="400" w:lineRule="exact"/>
        <w:ind w:firstLine="40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48449C5A">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5180F905">
      <w:pPr>
        <w:adjustRightInd w:val="0"/>
        <w:snapToGrid w:val="0"/>
        <w:spacing w:before="0" w:line="400" w:lineRule="exact"/>
        <w:ind w:firstLine="40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781B6157">
      <w:pPr>
        <w:autoSpaceDE w:val="0"/>
        <w:autoSpaceDN w:val="0"/>
        <w:adjustRightInd w:val="0"/>
        <w:snapToGrid w:val="0"/>
        <w:spacing w:before="0" w:line="400" w:lineRule="exact"/>
        <w:ind w:firstLine="40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311035D3">
      <w:pPr>
        <w:autoSpaceDE w:val="0"/>
        <w:autoSpaceDN w:val="0"/>
        <w:adjustRightInd w:val="0"/>
        <w:snapToGrid w:val="0"/>
        <w:spacing w:before="0" w:line="400" w:lineRule="exact"/>
        <w:ind w:firstLine="40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6C5E8A25">
      <w:pPr>
        <w:autoSpaceDE w:val="0"/>
        <w:autoSpaceDN w:val="0"/>
        <w:adjustRightInd w:val="0"/>
        <w:snapToGrid w:val="0"/>
        <w:spacing w:before="0" w:line="400" w:lineRule="exact"/>
        <w:ind w:firstLine="40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67C0615A">
      <w:pPr>
        <w:autoSpaceDE w:val="0"/>
        <w:autoSpaceDN w:val="0"/>
        <w:adjustRightInd w:val="0"/>
        <w:snapToGrid w:val="0"/>
        <w:spacing w:before="0" w:line="400" w:lineRule="exact"/>
        <w:ind w:firstLine="40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03E88417">
      <w:pPr>
        <w:autoSpaceDE w:val="0"/>
        <w:autoSpaceDN w:val="0"/>
        <w:adjustRightInd w:val="0"/>
        <w:snapToGrid w:val="0"/>
        <w:spacing w:before="0" w:line="400" w:lineRule="exact"/>
        <w:ind w:firstLine="40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00A904CB">
      <w:pPr>
        <w:autoSpaceDE w:val="0"/>
        <w:autoSpaceDN w:val="0"/>
        <w:adjustRightInd w:val="0"/>
        <w:snapToGrid w:val="0"/>
        <w:spacing w:before="0" w:line="400" w:lineRule="exact"/>
        <w:ind w:firstLine="40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293F746A">
      <w:pPr>
        <w:adjustRightInd w:val="0"/>
        <w:snapToGrid w:val="0"/>
        <w:spacing w:before="0" w:line="400" w:lineRule="exact"/>
        <w:ind w:firstLine="40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3BA9D9C2">
      <w:pPr>
        <w:numPr>
          <w:ilvl w:val="0"/>
          <w:numId w:val="7"/>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7F27BA9F">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2F17D798">
      <w:pPr>
        <w:autoSpaceDE w:val="0"/>
        <w:autoSpaceDN w:val="0"/>
        <w:adjustRightInd w:val="0"/>
        <w:snapToGrid w:val="0"/>
        <w:spacing w:before="0" w:line="400" w:lineRule="exact"/>
        <w:ind w:firstLine="40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1B4E37B0">
      <w:pPr>
        <w:adjustRightInd w:val="0"/>
        <w:snapToGrid w:val="0"/>
        <w:spacing w:before="0" w:line="400" w:lineRule="exact"/>
        <w:ind w:firstLine="40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51081DFB">
      <w:pPr>
        <w:autoSpaceDE w:val="0"/>
        <w:autoSpaceDN w:val="0"/>
        <w:adjustRightInd w:val="0"/>
        <w:snapToGrid w:val="0"/>
        <w:spacing w:before="0" w:line="400" w:lineRule="exact"/>
        <w:ind w:firstLine="40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38B61D9D">
      <w:pPr>
        <w:autoSpaceDE w:val="0"/>
        <w:autoSpaceDN w:val="0"/>
        <w:adjustRightInd w:val="0"/>
        <w:snapToGrid w:val="0"/>
        <w:spacing w:before="0" w:line="400" w:lineRule="exact"/>
        <w:ind w:firstLine="40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5B9ED4C6">
      <w:pPr>
        <w:pStyle w:val="148"/>
        <w:jc w:val="both"/>
        <w:rPr>
          <w:sz w:val="21"/>
          <w:highlight w:val="none"/>
        </w:rPr>
      </w:pPr>
      <w:r>
        <w:rPr>
          <w:rFonts w:hint="eastAsia" w:ascii="宋体" w:hAnsi="宋体" w:eastAsia="宋体" w:cs="宋体"/>
          <w:sz w:val="21"/>
          <w:highlight w:val="none"/>
        </w:rPr>
        <w:t>（3）乙方分立、合并或者变更住所的，应当及时以书面形式告知甲方。乙方没有</w:t>
      </w:r>
      <w:r>
        <w:rPr>
          <w:rFonts w:hint="eastAsia" w:ascii="宋体" w:hAnsi="宋体" w:eastAsia="宋体" w:cs="宋体"/>
          <w:sz w:val="21"/>
          <w:highlight w:val="none"/>
          <w:lang w:eastAsia="zh-CN"/>
        </w:rPr>
        <w:t>及时告知</w:t>
      </w:r>
      <w:r>
        <w:rPr>
          <w:rFonts w:hint="eastAsia" w:ascii="宋体" w:hAnsi="宋体" w:eastAsia="宋体" w:cs="宋体"/>
          <w:sz w:val="21"/>
          <w:highlight w:val="none"/>
        </w:rPr>
        <w:t>甲方，致使</w:t>
      </w:r>
      <w:r>
        <w:rPr>
          <w:rFonts w:hint="eastAsia" w:ascii="宋体" w:hAnsi="宋体" w:eastAsia="宋体" w:cs="宋体"/>
          <w:sz w:val="21"/>
          <w:highlight w:val="none"/>
          <w:lang w:eastAsia="zh-CN"/>
        </w:rPr>
        <w:t>合同</w:t>
      </w:r>
      <w:r>
        <w:rPr>
          <w:rFonts w:hint="eastAsia" w:ascii="宋体" w:hAnsi="宋体" w:eastAsia="宋体" w:cs="宋体"/>
          <w:sz w:val="21"/>
          <w:highlight w:val="none"/>
        </w:rPr>
        <w:t>履行发生困难的，甲方可以中止合同履行并要求乙方承担由此给甲方造成的损失。</w:t>
      </w:r>
    </w:p>
    <w:p w14:paraId="3323C2F3">
      <w:pPr>
        <w:snapToGrid w:val="0"/>
        <w:spacing w:line="400" w:lineRule="exact"/>
        <w:ind w:firstLine="400" w:firstLineChars="200"/>
        <w:jc w:val="left"/>
        <w:rPr>
          <w:sz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2C5E47A5">
      <w:pPr>
        <w:adjustRightInd w:val="0"/>
        <w:snapToGrid w:val="0"/>
        <w:spacing w:before="0" w:line="400" w:lineRule="exact"/>
        <w:ind w:firstLine="40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26CEA133">
      <w:pPr>
        <w:autoSpaceDE w:val="0"/>
        <w:autoSpaceDN w:val="0"/>
        <w:adjustRightInd w:val="0"/>
        <w:snapToGrid w:val="0"/>
        <w:spacing w:before="0" w:line="400" w:lineRule="exact"/>
        <w:ind w:firstLine="40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0D813125">
      <w:pPr>
        <w:snapToGrid w:val="0"/>
        <w:spacing w:line="400" w:lineRule="exact"/>
        <w:ind w:firstLine="400" w:firstLineChars="200"/>
        <w:rPr>
          <w:rFonts w:hint="eastAsia" w:ascii="宋体" w:hAnsi="宋体" w:eastAsia="宋体" w:cs="宋体"/>
          <w:szCs w:val="21"/>
          <w:highlight w:val="none"/>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highlight w:val="none"/>
        </w:rPr>
        <w:t>并追究乙方的违约责</w:t>
      </w:r>
      <w:r>
        <w:rPr>
          <w:rFonts w:hint="eastAsia" w:ascii="宋体" w:hAnsi="宋体" w:cs="宋体"/>
          <w:szCs w:val="21"/>
          <w:highlight w:val="none"/>
          <w:lang w:val="en-US" w:eastAsia="zh-CN"/>
        </w:rPr>
        <w:t>任</w:t>
      </w:r>
      <w:r>
        <w:rPr>
          <w:rFonts w:hint="eastAsia" w:ascii="宋体" w:hAnsi="宋体"/>
          <w:color w:val="auto"/>
          <w:szCs w:val="21"/>
          <w:highlight w:val="none"/>
        </w:rPr>
        <w:t>。</w:t>
      </w:r>
    </w:p>
    <w:p w14:paraId="28668475">
      <w:pPr>
        <w:pStyle w:val="148"/>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0FF720EE">
      <w:pPr>
        <w:pStyle w:val="148"/>
        <w:jc w:val="both"/>
        <w:rPr>
          <w:sz w:val="21"/>
          <w:highlight w:val="none"/>
        </w:rPr>
      </w:pPr>
      <w:r>
        <w:rPr>
          <w:rFonts w:hint="eastAsia" w:ascii="宋体" w:hAnsi="宋体" w:eastAsia="宋体" w:cs="宋体"/>
          <w:sz w:val="21"/>
          <w:highlight w:val="none"/>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highlight w:val="none"/>
        </w:rPr>
        <w:t>中止</w:t>
      </w:r>
      <w:r>
        <w:rPr>
          <w:rFonts w:hint="eastAsia" w:ascii="宋体" w:hAnsi="宋体" w:eastAsia="宋体" w:cs="宋体"/>
          <w:sz w:val="21"/>
          <w:highlight w:val="none"/>
          <w:lang w:eastAsia="zh-CN"/>
        </w:rPr>
        <w:t>或者终止</w:t>
      </w:r>
      <w:r>
        <w:rPr>
          <w:rFonts w:hint="eastAsia" w:ascii="宋体" w:hAnsi="宋体" w:eastAsia="宋体" w:cs="宋体"/>
          <w:sz w:val="21"/>
          <w:highlight w:val="none"/>
        </w:rPr>
        <w:t>合同。有过错的一方应当承担赔偿责任，双方都有过错的，各自承担相应的责任。</w:t>
      </w:r>
    </w:p>
    <w:p w14:paraId="49F5648C">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58C9CE28">
      <w:pPr>
        <w:autoSpaceDE w:val="0"/>
        <w:autoSpaceDN w:val="0"/>
        <w:adjustRightInd w:val="0"/>
        <w:snapToGrid w:val="0"/>
        <w:spacing w:before="0" w:line="400" w:lineRule="exact"/>
        <w:ind w:firstLine="40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0A01EA98">
      <w:pPr>
        <w:autoSpaceDE w:val="0"/>
        <w:autoSpaceDN w:val="0"/>
        <w:adjustRightInd w:val="0"/>
        <w:snapToGrid w:val="0"/>
        <w:spacing w:before="0" w:line="400" w:lineRule="exact"/>
        <w:ind w:firstLine="40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622DA2EE">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1CC834BD">
      <w:pPr>
        <w:autoSpaceDE w:val="0"/>
        <w:autoSpaceDN w:val="0"/>
        <w:adjustRightInd w:val="0"/>
        <w:snapToGrid w:val="0"/>
        <w:spacing w:before="0" w:line="400" w:lineRule="exact"/>
        <w:ind w:firstLine="40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3D025F36">
      <w:pPr>
        <w:autoSpaceDE w:val="0"/>
        <w:autoSpaceDN w:val="0"/>
        <w:adjustRightInd w:val="0"/>
        <w:snapToGrid w:val="0"/>
        <w:spacing w:before="0" w:line="400" w:lineRule="exact"/>
        <w:ind w:firstLine="40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424207A4">
      <w:pPr>
        <w:autoSpaceDE w:val="0"/>
        <w:autoSpaceDN w:val="0"/>
        <w:adjustRightInd w:val="0"/>
        <w:snapToGrid w:val="0"/>
        <w:spacing w:before="0" w:line="400" w:lineRule="exact"/>
        <w:ind w:firstLine="40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15B354E3">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0196882C">
      <w:pPr>
        <w:pStyle w:val="148"/>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19</w:t>
      </w:r>
      <w:r>
        <w:rPr>
          <w:rFonts w:hint="eastAsia" w:ascii="宋体" w:hAnsi="宋体" w:eastAsia="宋体" w:cs="宋体"/>
          <w:sz w:val="21"/>
          <w:highlight w:val="none"/>
        </w:rPr>
        <w:t>.1 因本合同及合同有关事项发生的争议，由</w:t>
      </w:r>
      <w:r>
        <w:rPr>
          <w:rFonts w:hint="eastAsia" w:ascii="宋体" w:hAnsi="宋体" w:eastAsia="宋体" w:cs="宋体"/>
          <w:sz w:val="21"/>
          <w:highlight w:val="none"/>
          <w:lang w:eastAsia="zh-CN"/>
        </w:rPr>
        <w:t>甲乙双</w:t>
      </w:r>
      <w:r>
        <w:rPr>
          <w:rFonts w:hint="eastAsia" w:ascii="宋体" w:hAnsi="宋体" w:eastAsia="宋体" w:cs="宋体"/>
          <w:sz w:val="21"/>
          <w:highlight w:val="none"/>
        </w:rPr>
        <w:t>方友好协商解决。协商不成时，可以</w:t>
      </w:r>
      <w:r>
        <w:rPr>
          <w:rFonts w:hint="eastAsia" w:ascii="宋体" w:hAnsi="宋体" w:eastAsia="宋体" w:cs="宋体"/>
          <w:sz w:val="21"/>
          <w:highlight w:val="none"/>
          <w:lang w:eastAsia="zh-CN"/>
        </w:rPr>
        <w:t>向有关组织申请</w:t>
      </w:r>
      <w:r>
        <w:rPr>
          <w:rFonts w:hint="eastAsia" w:ascii="宋体" w:hAnsi="宋体" w:eastAsia="宋体" w:cs="宋体"/>
          <w:sz w:val="21"/>
          <w:highlight w:val="none"/>
        </w:rPr>
        <w:t>调解。合同一方或</w:t>
      </w:r>
      <w:r>
        <w:rPr>
          <w:rFonts w:hint="eastAsia" w:ascii="宋体" w:hAnsi="宋体" w:eastAsia="宋体" w:cs="宋体"/>
          <w:sz w:val="21"/>
          <w:highlight w:val="none"/>
          <w:lang w:eastAsia="zh-CN"/>
        </w:rPr>
        <w:t>双</w:t>
      </w:r>
      <w:r>
        <w:rPr>
          <w:rFonts w:hint="eastAsia" w:ascii="宋体" w:hAnsi="宋体" w:eastAsia="宋体" w:cs="宋体"/>
          <w:sz w:val="21"/>
          <w:highlight w:val="none"/>
        </w:rPr>
        <w:t>方不愿调解或调解不成的，可以通过仲裁或诉讼的方式解决争议。</w:t>
      </w:r>
    </w:p>
    <w:p w14:paraId="091126A2">
      <w:pPr>
        <w:pStyle w:val="148"/>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19</w:t>
      </w:r>
      <w:r>
        <w:rPr>
          <w:rFonts w:hint="eastAsia" w:ascii="宋体" w:hAnsi="宋体" w:eastAsia="宋体" w:cs="宋体"/>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highlight w:val="none"/>
        </w:rPr>
        <w:t>中进一步约定选择与争议有实际联系的地点的人民法院管辖，但管辖法院的约定不得违反级别管辖和专属管辖的规定。</w:t>
      </w:r>
    </w:p>
    <w:p w14:paraId="0953891C">
      <w:pPr>
        <w:pStyle w:val="148"/>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19</w:t>
      </w:r>
      <w:r>
        <w:rPr>
          <w:rFonts w:hint="eastAsia" w:ascii="宋体" w:hAnsi="宋体" w:eastAsia="宋体" w:cs="宋体"/>
          <w:sz w:val="21"/>
          <w:highlight w:val="none"/>
        </w:rPr>
        <w:t>.3 如</w:t>
      </w:r>
      <w:r>
        <w:rPr>
          <w:rFonts w:hint="eastAsia" w:ascii="宋体" w:hAnsi="宋体" w:eastAsia="宋体" w:cs="宋体"/>
          <w:sz w:val="21"/>
          <w:highlight w:val="none"/>
          <w:lang w:eastAsia="zh-CN"/>
        </w:rPr>
        <w:t>甲乙双方</w:t>
      </w:r>
      <w:r>
        <w:rPr>
          <w:rFonts w:hint="eastAsia" w:ascii="宋体" w:hAnsi="宋体" w:eastAsia="宋体" w:cs="宋体"/>
          <w:sz w:val="21"/>
          <w:highlight w:val="none"/>
        </w:rPr>
        <w:t>有争议的事项不影响合同其他部分的履行，在争议解决期间，合同其他部分应</w:t>
      </w:r>
      <w:r>
        <w:rPr>
          <w:rFonts w:hint="eastAsia" w:ascii="宋体" w:hAnsi="宋体" w:eastAsia="宋体" w:cs="宋体"/>
          <w:sz w:val="21"/>
          <w:highlight w:val="none"/>
          <w:lang w:eastAsia="zh-CN"/>
        </w:rPr>
        <w:t>当</w:t>
      </w:r>
      <w:r>
        <w:rPr>
          <w:rFonts w:hint="eastAsia" w:ascii="宋体" w:hAnsi="宋体" w:eastAsia="宋体" w:cs="宋体"/>
          <w:sz w:val="21"/>
          <w:highlight w:val="none"/>
        </w:rPr>
        <w:t>继续履行。</w:t>
      </w:r>
    </w:p>
    <w:p w14:paraId="5DA72D16">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31430C1D">
      <w:pPr>
        <w:autoSpaceDE w:val="0"/>
        <w:autoSpaceDN w:val="0"/>
        <w:adjustRightInd w:val="0"/>
        <w:snapToGrid w:val="0"/>
        <w:spacing w:before="0" w:line="400" w:lineRule="exact"/>
        <w:ind w:firstLine="40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highlight w:val="none"/>
          <w:lang w:val="en-GB"/>
        </w:rPr>
        <w:t>本合同应当按照规定执行政府采购政策。</w:t>
      </w:r>
    </w:p>
    <w:p w14:paraId="3014BC29">
      <w:pPr>
        <w:autoSpaceDE w:val="0"/>
        <w:autoSpaceDN w:val="0"/>
        <w:adjustRightInd w:val="0"/>
        <w:snapToGrid w:val="0"/>
        <w:spacing w:before="0" w:line="400" w:lineRule="exact"/>
        <w:ind w:firstLine="40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highlight w:val="none"/>
          <w:lang w:eastAsia="zh-CN"/>
        </w:rPr>
        <w:t>甲乙双方</w:t>
      </w:r>
      <w:r>
        <w:rPr>
          <w:rFonts w:hint="eastAsia" w:ascii="宋体" w:hAnsi="宋体" w:eastAsia="宋体" w:cs="宋体"/>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73005F22">
      <w:pPr>
        <w:pStyle w:val="3"/>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对于</w:t>
      </w:r>
      <w:r>
        <w:rPr>
          <w:rFonts w:hint="eastAsia" w:ascii="宋体" w:hAnsi="宋体" w:eastAsia="宋体" w:cs="宋体"/>
          <w:color w:val="auto"/>
          <w:sz w:val="21"/>
          <w:szCs w:val="21"/>
          <w:highlight w:val="none"/>
          <w:lang w:eastAsia="zh-CN"/>
        </w:rPr>
        <w:t>为落实中小企业支持政策，</w:t>
      </w:r>
      <w:r>
        <w:rPr>
          <w:rFonts w:hint="eastAsia" w:ascii="宋体" w:hAnsi="宋体" w:eastAsia="宋体" w:cs="宋体"/>
          <w:color w:val="auto"/>
          <w:sz w:val="21"/>
          <w:szCs w:val="21"/>
          <w:highlight w:val="none"/>
        </w:rPr>
        <w:t>通过采购项目</w:t>
      </w:r>
      <w:r>
        <w:rPr>
          <w:rFonts w:hint="eastAsia" w:ascii="宋体" w:hAnsi="宋体" w:eastAsia="宋体" w:cs="宋体"/>
          <w:color w:val="auto"/>
          <w:sz w:val="21"/>
          <w:szCs w:val="21"/>
          <w:highlight w:val="none"/>
          <w:lang w:eastAsia="zh-CN"/>
        </w:rPr>
        <w:t>整体</w:t>
      </w:r>
      <w:r>
        <w:rPr>
          <w:rFonts w:hint="eastAsia" w:ascii="宋体" w:hAnsi="宋体" w:eastAsia="宋体" w:cs="宋体"/>
          <w:color w:val="auto"/>
          <w:sz w:val="21"/>
          <w:szCs w:val="21"/>
          <w:highlight w:val="none"/>
        </w:rPr>
        <w:t>预留、</w:t>
      </w:r>
      <w:r>
        <w:rPr>
          <w:rFonts w:hint="eastAsia" w:ascii="宋体" w:hAnsi="宋体" w:eastAsia="宋体" w:cs="宋体"/>
          <w:color w:val="auto"/>
          <w:sz w:val="21"/>
          <w:szCs w:val="21"/>
          <w:highlight w:val="none"/>
          <w:lang w:eastAsia="zh-CN"/>
        </w:rPr>
        <w:t>设置</w:t>
      </w:r>
      <w:r>
        <w:rPr>
          <w:rFonts w:hint="eastAsia" w:ascii="宋体" w:hAnsi="宋体" w:eastAsia="宋体" w:cs="宋体"/>
          <w:color w:val="auto"/>
          <w:sz w:val="21"/>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3C7D9B3">
      <w:p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法律适用</w:t>
      </w:r>
    </w:p>
    <w:p w14:paraId="65BF7F6E">
      <w:pPr>
        <w:pStyle w:val="148"/>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1</w:t>
      </w:r>
      <w:r>
        <w:rPr>
          <w:rFonts w:hint="eastAsia" w:ascii="宋体" w:hAnsi="宋体" w:eastAsia="宋体" w:cs="宋体"/>
          <w:sz w:val="21"/>
          <w:highlight w:val="none"/>
        </w:rPr>
        <w:t>.1 本合同的订立、生效、解释、履行及与本合同有关的争议解决，均适用法律、行政法规。</w:t>
      </w:r>
    </w:p>
    <w:p w14:paraId="513B1C1D">
      <w:pPr>
        <w:pStyle w:val="148"/>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1</w:t>
      </w:r>
      <w:r>
        <w:rPr>
          <w:rFonts w:hint="eastAsia" w:ascii="宋体" w:hAnsi="宋体" w:eastAsia="宋体" w:cs="宋体"/>
          <w:sz w:val="21"/>
          <w:highlight w:val="none"/>
        </w:rPr>
        <w:t>.2 本合同条款与法律、行政法规的强制性规定不一致的，双方当事人应按照法律、行政法规的强制性规定修改本合同的相关条款。</w:t>
      </w:r>
    </w:p>
    <w:p w14:paraId="289E9475">
      <w:pPr>
        <w:numPr>
          <w:ilvl w:val="0"/>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2F7A40F2">
      <w:pPr>
        <w:pStyle w:val="148"/>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2</w:t>
      </w:r>
      <w:r>
        <w:rPr>
          <w:rFonts w:hint="eastAsia" w:ascii="宋体" w:hAnsi="宋体" w:eastAsia="宋体" w:cs="宋体"/>
          <w:sz w:val="21"/>
          <w:highlight w:val="none"/>
        </w:rPr>
        <w:t>.1</w:t>
      </w: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本合同任何一方向对方发出的通知、信件、数据电文等，应当发送至本合同第一部分《政府采购合同协议书》所约定的通讯地址、联系人、联系电话或电子邮箱。</w:t>
      </w:r>
    </w:p>
    <w:p w14:paraId="5D0C0DFC">
      <w:pPr>
        <w:pStyle w:val="148"/>
        <w:ind w:firstLine="0" w:firstLineChars="0"/>
        <w:jc w:val="both"/>
        <w:rPr>
          <w:sz w:val="21"/>
          <w:highlight w:val="none"/>
        </w:rPr>
      </w:pP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2</w:t>
      </w:r>
      <w:r>
        <w:rPr>
          <w:rFonts w:hint="eastAsia" w:ascii="宋体" w:hAnsi="宋体" w:eastAsia="宋体" w:cs="宋体"/>
          <w:sz w:val="21"/>
          <w:highlight w:val="none"/>
          <w:lang w:val="en-US" w:eastAsia="zh-CN"/>
        </w:rPr>
        <w:t>2</w:t>
      </w:r>
      <w:r>
        <w:rPr>
          <w:rFonts w:hint="eastAsia" w:ascii="宋体" w:hAnsi="宋体" w:eastAsia="宋体" w:cs="宋体"/>
          <w:sz w:val="21"/>
          <w:highlight w:val="none"/>
        </w:rPr>
        <w:t>.2</w:t>
      </w: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一方当事人变更名称、</w:t>
      </w:r>
      <w:r>
        <w:rPr>
          <w:rFonts w:hint="eastAsia" w:ascii="宋体" w:hAnsi="宋体" w:eastAsia="宋体" w:cs="宋体"/>
          <w:sz w:val="21"/>
          <w:highlight w:val="none"/>
          <w:lang w:eastAsia="zh-CN"/>
        </w:rPr>
        <w:t>住所</w:t>
      </w:r>
      <w:r>
        <w:rPr>
          <w:rFonts w:hint="eastAsia" w:ascii="宋体" w:hAnsi="宋体" w:eastAsia="宋体" w:cs="宋体"/>
          <w:sz w:val="21"/>
          <w:highlight w:val="none"/>
        </w:rPr>
        <w:t>、联系人、联系电话或电子邮箱</w:t>
      </w:r>
      <w:r>
        <w:rPr>
          <w:rFonts w:hint="eastAsia" w:ascii="宋体" w:hAnsi="宋体" w:eastAsia="宋体" w:cs="宋体"/>
          <w:sz w:val="21"/>
          <w:highlight w:val="none"/>
          <w:lang w:eastAsia="zh-CN"/>
        </w:rPr>
        <w:t>等信息</w:t>
      </w:r>
      <w:r>
        <w:rPr>
          <w:rFonts w:hint="eastAsia" w:ascii="宋体" w:hAnsi="宋体" w:eastAsia="宋体" w:cs="宋体"/>
          <w:sz w:val="21"/>
          <w:highlight w:val="none"/>
        </w:rPr>
        <w:t>的，应当在变更后3日内及时书面通知对方，对方实际收到变更通知前的送达仍为有效送达。</w:t>
      </w:r>
    </w:p>
    <w:p w14:paraId="7C8916CA">
      <w:pPr>
        <w:adjustRightInd w:val="0"/>
        <w:snapToGrid w:val="0"/>
        <w:spacing w:before="0" w:line="400" w:lineRule="exact"/>
        <w:ind w:firstLine="40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7DD4DFE7">
      <w:pPr>
        <w:adjustRightInd w:val="0"/>
        <w:snapToGrid w:val="0"/>
        <w:spacing w:before="0" w:line="400" w:lineRule="exact"/>
        <w:ind w:firstLine="40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17003B31">
      <w:pPr>
        <w:numPr>
          <w:ilvl w:val="0"/>
          <w:numId w:val="8"/>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49B6A078">
      <w:pPr>
        <w:adjustRightInd w:val="0"/>
        <w:snapToGrid w:val="0"/>
        <w:spacing w:before="0" w:line="400" w:lineRule="exact"/>
        <w:ind w:firstLine="40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6DCA5751">
      <w:pPr>
        <w:adjustRightInd w:val="0"/>
        <w:snapToGrid w:val="0"/>
        <w:spacing w:line="400" w:lineRule="exact"/>
        <w:ind w:firstLine="0" w:firstLineChars="0"/>
        <w:jc w:val="left"/>
        <w:rPr>
          <w:rFonts w:ascii="黑体" w:hAnsi="华文中宋" w:eastAsia="黑体"/>
          <w:color w:val="auto"/>
          <w:sz w:val="28"/>
          <w:szCs w:val="28"/>
          <w:highlight w:val="none"/>
        </w:rPr>
      </w:pPr>
      <w:r>
        <w:rPr>
          <w:rFonts w:hint="eastAsia" w:ascii="宋体" w:hAnsi="宋体"/>
          <w:bCs/>
          <w:color w:val="auto"/>
          <w:szCs w:val="21"/>
          <w:highlight w:val="none"/>
          <w:lang w:val="en-US" w:eastAsia="zh-CN"/>
        </w:rPr>
        <w:t xml:space="preserve">    23.2 合同附件与合同正文具有同等的法律效力。</w:t>
      </w:r>
      <w:bookmarkStart w:id="48" w:name="_Toc20313"/>
    </w:p>
    <w:p w14:paraId="372A7936">
      <w:pPr>
        <w:adjustRightInd w:val="0"/>
        <w:snapToGrid w:val="0"/>
        <w:jc w:val="center"/>
        <w:rPr>
          <w:rFonts w:hint="eastAsia" w:ascii="黑体" w:hAnsi="华文中宋" w:eastAsia="黑体"/>
          <w:b w:val="0"/>
          <w:bCs w:val="0"/>
          <w:sz w:val="28"/>
          <w:szCs w:val="28"/>
          <w:highlight w:val="none"/>
        </w:rPr>
      </w:pPr>
      <w:r>
        <w:rPr>
          <w:rFonts w:hint="eastAsia" w:ascii="黑体" w:hAnsi="华文中宋" w:eastAsia="黑体"/>
          <w:b w:val="0"/>
          <w:bCs w:val="0"/>
          <w:sz w:val="28"/>
          <w:szCs w:val="28"/>
          <w:highlight w:val="none"/>
        </w:rPr>
        <w:br w:type="page"/>
      </w:r>
    </w:p>
    <w:p w14:paraId="30596AC5">
      <w:pPr>
        <w:pStyle w:val="5"/>
        <w:adjustRightInd w:val="0"/>
        <w:snapToGrid w:val="0"/>
        <w:jc w:val="center"/>
        <w:rPr>
          <w:rFonts w:ascii="黑体" w:hAnsi="华文中宋" w:eastAsia="黑体"/>
          <w:b w:val="0"/>
          <w:bCs w:val="0"/>
          <w:sz w:val="28"/>
          <w:szCs w:val="28"/>
          <w:highlight w:val="none"/>
        </w:rPr>
      </w:pPr>
      <w:r>
        <w:rPr>
          <w:rFonts w:hint="eastAsia" w:ascii="黑体" w:hAnsi="华文中宋" w:eastAsia="黑体"/>
          <w:b w:val="0"/>
          <w:bCs w:val="0"/>
          <w:sz w:val="28"/>
          <w:szCs w:val="28"/>
          <w:highlight w:val="none"/>
        </w:rPr>
        <w:t>第三节 政府采购合同专用条款</w:t>
      </w:r>
      <w:bookmarkEnd w:id="48"/>
    </w:p>
    <w:tbl>
      <w:tblPr>
        <w:tblStyle w:val="4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39FB6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386FC82">
            <w:pPr>
              <w:adjustRightInd w:val="0"/>
              <w:snapToGrid w:val="0"/>
              <w:jc w:val="center"/>
              <w:rPr>
                <w:rFonts w:ascii="宋体" w:hAnsi="宋体"/>
                <w:szCs w:val="21"/>
                <w:highlight w:val="none"/>
              </w:rPr>
            </w:pPr>
            <w:r>
              <w:rPr>
                <w:rFonts w:hint="eastAsia" w:ascii="宋体" w:hAnsi="宋体"/>
                <w:szCs w:val="21"/>
                <w:highlight w:val="none"/>
              </w:rPr>
              <w:t>第二节</w:t>
            </w:r>
          </w:p>
          <w:p w14:paraId="337938AD">
            <w:pPr>
              <w:adjustRightInd w:val="0"/>
              <w:snapToGrid w:val="0"/>
              <w:jc w:val="center"/>
              <w:rPr>
                <w:rFonts w:ascii="宋体" w:hAnsi="宋体"/>
                <w:szCs w:val="21"/>
                <w:highlight w:val="none"/>
              </w:rPr>
            </w:pPr>
            <w:r>
              <w:rPr>
                <w:rFonts w:hint="eastAsia" w:ascii="宋体" w:hAnsi="宋体"/>
                <w:szCs w:val="21"/>
                <w:highlight w:val="none"/>
              </w:rPr>
              <w:t>第1.2（</w:t>
            </w:r>
            <w:r>
              <w:rPr>
                <w:rFonts w:hint="eastAsia" w:ascii="宋体" w:hAnsi="宋体"/>
                <w:szCs w:val="21"/>
                <w:highlight w:val="none"/>
                <w:lang w:val="en-US" w:eastAsia="zh-CN"/>
              </w:rPr>
              <w:t>6</w:t>
            </w:r>
            <w:r>
              <w:rPr>
                <w:rFonts w:hint="eastAsia" w:ascii="宋体" w:hAnsi="宋体"/>
                <w:szCs w:val="21"/>
                <w:highlight w:val="none"/>
              </w:rPr>
              <w:t>）项</w:t>
            </w:r>
          </w:p>
        </w:tc>
        <w:tc>
          <w:tcPr>
            <w:tcW w:w="1742" w:type="dxa"/>
            <w:noWrap w:val="0"/>
            <w:vAlign w:val="center"/>
          </w:tcPr>
          <w:p w14:paraId="52F8C64C">
            <w:pPr>
              <w:adjustRightInd w:val="0"/>
              <w:snapToGrid w:val="0"/>
              <w:jc w:val="left"/>
              <w:rPr>
                <w:rFonts w:ascii="宋体" w:hAnsi="宋体"/>
                <w:szCs w:val="21"/>
                <w:highlight w:val="none"/>
              </w:rPr>
            </w:pPr>
            <w:r>
              <w:rPr>
                <w:rFonts w:hint="eastAsia" w:ascii="宋体" w:hAnsi="宋体"/>
                <w:szCs w:val="21"/>
                <w:highlight w:val="none"/>
                <w:lang w:eastAsia="zh-CN"/>
              </w:rPr>
              <w:t>联合体具体要求</w:t>
            </w:r>
          </w:p>
        </w:tc>
        <w:tc>
          <w:tcPr>
            <w:tcW w:w="5170" w:type="dxa"/>
            <w:noWrap w:val="0"/>
            <w:vAlign w:val="center"/>
          </w:tcPr>
          <w:p w14:paraId="2C8B498D">
            <w:pPr>
              <w:adjustRightInd w:val="0"/>
              <w:snapToGrid w:val="0"/>
              <w:jc w:val="left"/>
              <w:rPr>
                <w:rFonts w:ascii="宋体" w:hAnsi="宋体"/>
                <w:szCs w:val="21"/>
                <w:highlight w:val="none"/>
              </w:rPr>
            </w:pPr>
          </w:p>
        </w:tc>
      </w:tr>
      <w:tr w14:paraId="4875DC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0AB24600">
            <w:pPr>
              <w:adjustRightInd w:val="0"/>
              <w:snapToGrid w:val="0"/>
              <w:jc w:val="center"/>
              <w:rPr>
                <w:rFonts w:ascii="宋体" w:hAnsi="宋体"/>
                <w:szCs w:val="21"/>
                <w:highlight w:val="none"/>
              </w:rPr>
            </w:pPr>
            <w:r>
              <w:rPr>
                <w:rFonts w:hint="eastAsia" w:ascii="宋体" w:hAnsi="宋体"/>
                <w:szCs w:val="21"/>
                <w:highlight w:val="none"/>
              </w:rPr>
              <w:t>第二节</w:t>
            </w:r>
          </w:p>
          <w:p w14:paraId="4A35403F">
            <w:pPr>
              <w:adjustRightInd w:val="0"/>
              <w:snapToGrid w:val="0"/>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第1.2（</w:t>
            </w:r>
            <w:r>
              <w:rPr>
                <w:rFonts w:hint="eastAsia" w:ascii="宋体" w:hAnsi="宋体"/>
                <w:szCs w:val="21"/>
                <w:highlight w:val="none"/>
                <w:lang w:val="en-US" w:eastAsia="zh-CN"/>
              </w:rPr>
              <w:t>7</w:t>
            </w:r>
            <w:r>
              <w:rPr>
                <w:rFonts w:hint="eastAsia" w:ascii="宋体" w:hAnsi="宋体"/>
                <w:szCs w:val="21"/>
                <w:highlight w:val="none"/>
              </w:rPr>
              <w:t>）项</w:t>
            </w:r>
          </w:p>
        </w:tc>
        <w:tc>
          <w:tcPr>
            <w:tcW w:w="1742" w:type="dxa"/>
            <w:noWrap w:val="0"/>
            <w:vAlign w:val="center"/>
          </w:tcPr>
          <w:p w14:paraId="2DD83B76">
            <w:pPr>
              <w:adjustRightInd w:val="0"/>
              <w:snapToGrid w:val="0"/>
              <w:jc w:val="left"/>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其他术语解释</w:t>
            </w:r>
          </w:p>
        </w:tc>
        <w:tc>
          <w:tcPr>
            <w:tcW w:w="5170" w:type="dxa"/>
            <w:noWrap w:val="0"/>
            <w:vAlign w:val="center"/>
          </w:tcPr>
          <w:p w14:paraId="04166C90">
            <w:pPr>
              <w:adjustRightInd w:val="0"/>
              <w:snapToGrid w:val="0"/>
              <w:jc w:val="left"/>
              <w:rPr>
                <w:rFonts w:ascii="宋体" w:hAnsi="宋体" w:eastAsia="宋体" w:cs="Times New Roman"/>
                <w:kern w:val="2"/>
                <w:sz w:val="21"/>
                <w:szCs w:val="21"/>
                <w:highlight w:val="none"/>
                <w:lang w:val="en-US" w:eastAsia="zh-CN" w:bidi="ar-SA"/>
              </w:rPr>
            </w:pPr>
          </w:p>
        </w:tc>
      </w:tr>
      <w:tr w14:paraId="24A50C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603E72F">
            <w:pPr>
              <w:adjustRightInd w:val="0"/>
              <w:snapToGrid w:val="0"/>
              <w:jc w:val="center"/>
              <w:rPr>
                <w:rFonts w:ascii="宋体" w:hAnsi="宋体"/>
                <w:szCs w:val="21"/>
                <w:highlight w:val="none"/>
              </w:rPr>
            </w:pPr>
            <w:r>
              <w:rPr>
                <w:rFonts w:hint="eastAsia" w:ascii="宋体" w:hAnsi="宋体"/>
                <w:szCs w:val="21"/>
                <w:highlight w:val="none"/>
              </w:rPr>
              <w:t>第二节</w:t>
            </w:r>
          </w:p>
          <w:p w14:paraId="6A187EBD">
            <w:pPr>
              <w:adjustRightInd w:val="0"/>
              <w:snapToGrid w:val="0"/>
              <w:jc w:val="center"/>
              <w:rPr>
                <w:rFonts w:hint="default" w:ascii="宋体" w:hAnsi="宋体" w:eastAsia="宋体"/>
                <w:szCs w:val="21"/>
                <w:highlight w:val="none"/>
                <w:lang w:val="en-US" w:eastAsia="zh-CN"/>
              </w:rPr>
            </w:pPr>
            <w:r>
              <w:rPr>
                <w:rFonts w:hint="eastAsia" w:ascii="宋体" w:hAnsi="宋体"/>
                <w:szCs w:val="21"/>
                <w:highlight w:val="none"/>
                <w:lang w:eastAsia="zh-CN"/>
              </w:rPr>
              <w:t>第</w:t>
            </w:r>
            <w:r>
              <w:rPr>
                <w:rFonts w:hint="eastAsia" w:ascii="宋体" w:hAnsi="宋体"/>
                <w:szCs w:val="21"/>
                <w:highlight w:val="none"/>
                <w:lang w:val="en-US" w:eastAsia="zh-CN"/>
              </w:rPr>
              <w:t>4.4款</w:t>
            </w:r>
          </w:p>
        </w:tc>
        <w:tc>
          <w:tcPr>
            <w:tcW w:w="1742" w:type="dxa"/>
            <w:noWrap w:val="0"/>
            <w:vAlign w:val="center"/>
          </w:tcPr>
          <w:p w14:paraId="0317CF99">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履约验收中甲方提出异议或作出说明的期限</w:t>
            </w:r>
          </w:p>
        </w:tc>
        <w:tc>
          <w:tcPr>
            <w:tcW w:w="5170" w:type="dxa"/>
            <w:noWrap w:val="0"/>
            <w:vAlign w:val="center"/>
          </w:tcPr>
          <w:p w14:paraId="387C1E32">
            <w:pPr>
              <w:adjustRightInd w:val="0"/>
              <w:snapToGrid w:val="0"/>
              <w:jc w:val="left"/>
              <w:rPr>
                <w:rFonts w:ascii="宋体" w:hAnsi="宋体" w:eastAsia="宋体" w:cs="Times New Roman"/>
                <w:kern w:val="2"/>
                <w:sz w:val="21"/>
                <w:szCs w:val="21"/>
                <w:highlight w:val="none"/>
                <w:lang w:val="en-US" w:eastAsia="zh-CN" w:bidi="ar-SA"/>
              </w:rPr>
            </w:pPr>
          </w:p>
        </w:tc>
      </w:tr>
      <w:tr w14:paraId="039546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8B1BCC1">
            <w:pPr>
              <w:adjustRightInd w:val="0"/>
              <w:snapToGrid w:val="0"/>
              <w:jc w:val="center"/>
              <w:rPr>
                <w:rFonts w:ascii="宋体" w:hAnsi="宋体"/>
                <w:szCs w:val="21"/>
                <w:highlight w:val="none"/>
              </w:rPr>
            </w:pPr>
            <w:r>
              <w:rPr>
                <w:rFonts w:hint="eastAsia" w:ascii="宋体" w:hAnsi="宋体"/>
                <w:szCs w:val="21"/>
                <w:highlight w:val="none"/>
              </w:rPr>
              <w:t>第二节</w:t>
            </w:r>
          </w:p>
          <w:p w14:paraId="6444A9D8">
            <w:pPr>
              <w:adjustRightInd w:val="0"/>
              <w:snapToGrid w:val="0"/>
              <w:jc w:val="center"/>
              <w:rPr>
                <w:rFonts w:hint="eastAsia" w:ascii="宋体" w:hAnsi="宋体"/>
                <w:szCs w:val="21"/>
                <w:highlight w:val="none"/>
              </w:rPr>
            </w:pPr>
            <w:r>
              <w:rPr>
                <w:rFonts w:hint="eastAsia" w:ascii="宋体" w:hAnsi="宋体"/>
                <w:szCs w:val="21"/>
                <w:highlight w:val="none"/>
                <w:lang w:eastAsia="zh-CN"/>
              </w:rPr>
              <w:t>第</w:t>
            </w:r>
            <w:r>
              <w:rPr>
                <w:rFonts w:hint="eastAsia" w:ascii="宋体" w:hAnsi="宋体"/>
                <w:szCs w:val="21"/>
                <w:highlight w:val="none"/>
                <w:lang w:val="en-US" w:eastAsia="zh-CN"/>
              </w:rPr>
              <w:t>4.6款</w:t>
            </w:r>
          </w:p>
        </w:tc>
        <w:tc>
          <w:tcPr>
            <w:tcW w:w="1742" w:type="dxa"/>
            <w:noWrap w:val="0"/>
            <w:vAlign w:val="center"/>
          </w:tcPr>
          <w:p w14:paraId="028048F0">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约定甲方承担的其他义务和责任</w:t>
            </w:r>
          </w:p>
        </w:tc>
        <w:tc>
          <w:tcPr>
            <w:tcW w:w="5170" w:type="dxa"/>
            <w:noWrap w:val="0"/>
            <w:vAlign w:val="center"/>
          </w:tcPr>
          <w:p w14:paraId="76A2F574">
            <w:pPr>
              <w:adjustRightInd w:val="0"/>
              <w:snapToGrid w:val="0"/>
              <w:jc w:val="left"/>
              <w:rPr>
                <w:rFonts w:ascii="宋体" w:hAnsi="宋体" w:eastAsia="宋体" w:cs="Times New Roman"/>
                <w:kern w:val="2"/>
                <w:sz w:val="21"/>
                <w:szCs w:val="21"/>
                <w:highlight w:val="none"/>
                <w:lang w:val="en-US" w:eastAsia="zh-CN" w:bidi="ar-SA"/>
              </w:rPr>
            </w:pPr>
          </w:p>
        </w:tc>
      </w:tr>
      <w:tr w14:paraId="579BAB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EFBFD8B">
            <w:pPr>
              <w:adjustRightInd w:val="0"/>
              <w:snapToGrid w:val="0"/>
              <w:jc w:val="center"/>
              <w:rPr>
                <w:rFonts w:hint="eastAsia" w:ascii="宋体" w:hAnsi="宋体"/>
                <w:szCs w:val="21"/>
                <w:highlight w:val="none"/>
                <w:lang w:eastAsia="zh-CN"/>
              </w:rPr>
            </w:pPr>
            <w:r>
              <w:rPr>
                <w:rFonts w:hint="eastAsia" w:ascii="宋体" w:hAnsi="宋体"/>
                <w:szCs w:val="21"/>
                <w:highlight w:val="none"/>
                <w:lang w:eastAsia="zh-CN"/>
              </w:rPr>
              <w:t>第二节</w:t>
            </w:r>
          </w:p>
          <w:p w14:paraId="65CCEDE5">
            <w:pPr>
              <w:snapToGrid w:val="0"/>
              <w:jc w:val="center"/>
              <w:rPr>
                <w:rFonts w:hint="default"/>
                <w:highlight w:val="none"/>
                <w:lang w:val="en-US" w:eastAsia="zh-CN"/>
              </w:rPr>
            </w:pPr>
            <w:r>
              <w:rPr>
                <w:rFonts w:hint="eastAsia" w:ascii="宋体" w:hAnsi="宋体"/>
                <w:szCs w:val="21"/>
                <w:highlight w:val="none"/>
                <w:lang w:eastAsia="zh-CN"/>
              </w:rPr>
              <w:t>第</w:t>
            </w:r>
            <w:r>
              <w:rPr>
                <w:rFonts w:hint="eastAsia" w:ascii="宋体" w:hAnsi="宋体"/>
                <w:szCs w:val="21"/>
                <w:highlight w:val="none"/>
                <w:lang w:val="en-US" w:eastAsia="zh-CN"/>
              </w:rPr>
              <w:t>5.4款</w:t>
            </w:r>
          </w:p>
        </w:tc>
        <w:tc>
          <w:tcPr>
            <w:tcW w:w="1742" w:type="dxa"/>
            <w:noWrap w:val="0"/>
            <w:vAlign w:val="center"/>
          </w:tcPr>
          <w:p w14:paraId="15D1A355">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约定乙方承担的其他义务和责任</w:t>
            </w:r>
          </w:p>
        </w:tc>
        <w:tc>
          <w:tcPr>
            <w:tcW w:w="5170" w:type="dxa"/>
            <w:noWrap w:val="0"/>
            <w:vAlign w:val="center"/>
          </w:tcPr>
          <w:p w14:paraId="27BCC176">
            <w:pPr>
              <w:adjustRightInd w:val="0"/>
              <w:snapToGrid w:val="0"/>
              <w:jc w:val="left"/>
              <w:rPr>
                <w:rFonts w:ascii="宋体" w:hAnsi="宋体" w:eastAsia="宋体" w:cs="Times New Roman"/>
                <w:kern w:val="2"/>
                <w:sz w:val="21"/>
                <w:szCs w:val="21"/>
                <w:highlight w:val="none"/>
                <w:lang w:val="en-US" w:eastAsia="zh-CN" w:bidi="ar-SA"/>
              </w:rPr>
            </w:pPr>
          </w:p>
        </w:tc>
      </w:tr>
      <w:tr w14:paraId="5F7404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C446C95">
            <w:pPr>
              <w:adjustRightInd w:val="0"/>
              <w:snapToGrid w:val="0"/>
              <w:jc w:val="center"/>
              <w:rPr>
                <w:rFonts w:hint="eastAsia" w:ascii="宋体" w:hAnsi="宋体"/>
                <w:szCs w:val="21"/>
                <w:highlight w:val="none"/>
                <w:lang w:eastAsia="zh-CN"/>
              </w:rPr>
            </w:pPr>
            <w:r>
              <w:rPr>
                <w:rFonts w:hint="eastAsia" w:ascii="宋体" w:hAnsi="宋体"/>
                <w:szCs w:val="21"/>
                <w:highlight w:val="none"/>
                <w:lang w:eastAsia="zh-CN"/>
              </w:rPr>
              <w:t>第二节</w:t>
            </w:r>
          </w:p>
          <w:p w14:paraId="6F923DA1">
            <w:pPr>
              <w:snapToGrid w:val="0"/>
              <w:jc w:val="center"/>
              <w:rPr>
                <w:rFonts w:hint="eastAsia" w:ascii="宋体" w:hAnsi="宋体"/>
                <w:szCs w:val="21"/>
                <w:highlight w:val="none"/>
                <w:lang w:eastAsia="zh-CN"/>
              </w:rPr>
            </w:pPr>
            <w:r>
              <w:rPr>
                <w:rFonts w:hint="eastAsia" w:ascii="宋体" w:hAnsi="宋体"/>
                <w:szCs w:val="21"/>
                <w:highlight w:val="none"/>
                <w:lang w:eastAsia="zh-CN"/>
              </w:rPr>
              <w:t>第</w:t>
            </w:r>
            <w:r>
              <w:rPr>
                <w:rFonts w:hint="eastAsia" w:ascii="宋体" w:hAnsi="宋体"/>
                <w:szCs w:val="21"/>
                <w:highlight w:val="none"/>
                <w:lang w:val="en-US" w:eastAsia="zh-CN"/>
              </w:rPr>
              <w:t>6.1款</w:t>
            </w:r>
          </w:p>
        </w:tc>
        <w:tc>
          <w:tcPr>
            <w:tcW w:w="1742" w:type="dxa"/>
            <w:noWrap w:val="0"/>
            <w:vAlign w:val="center"/>
          </w:tcPr>
          <w:p w14:paraId="1CB5F9D4">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履行合同义务的顺序</w:t>
            </w:r>
          </w:p>
        </w:tc>
        <w:tc>
          <w:tcPr>
            <w:tcW w:w="5170" w:type="dxa"/>
            <w:noWrap w:val="0"/>
            <w:vAlign w:val="center"/>
          </w:tcPr>
          <w:p w14:paraId="397BF4D4">
            <w:pPr>
              <w:adjustRightInd w:val="0"/>
              <w:snapToGrid w:val="0"/>
              <w:jc w:val="left"/>
              <w:rPr>
                <w:rFonts w:ascii="宋体" w:hAnsi="宋体" w:eastAsia="宋体" w:cs="Times New Roman"/>
                <w:kern w:val="2"/>
                <w:sz w:val="21"/>
                <w:szCs w:val="21"/>
                <w:highlight w:val="none"/>
                <w:lang w:val="en-US" w:eastAsia="zh-CN" w:bidi="ar-SA"/>
              </w:rPr>
            </w:pPr>
          </w:p>
        </w:tc>
      </w:tr>
      <w:tr w14:paraId="3F6FBA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1B87B951">
            <w:pPr>
              <w:adjustRightInd w:val="0"/>
              <w:snapToGrid w:val="0"/>
              <w:jc w:val="center"/>
              <w:rPr>
                <w:rFonts w:ascii="宋体" w:hAnsi="宋体"/>
                <w:szCs w:val="21"/>
                <w:highlight w:val="none"/>
              </w:rPr>
            </w:pPr>
            <w:r>
              <w:rPr>
                <w:rFonts w:hint="eastAsia" w:ascii="宋体" w:hAnsi="宋体"/>
                <w:szCs w:val="21"/>
                <w:highlight w:val="none"/>
              </w:rPr>
              <w:t>第二节</w:t>
            </w:r>
          </w:p>
          <w:p w14:paraId="7580D6C0">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.1</w:t>
            </w:r>
            <w:r>
              <w:rPr>
                <w:rFonts w:hint="eastAsia" w:ascii="宋体" w:hAnsi="宋体"/>
                <w:szCs w:val="21"/>
                <w:highlight w:val="none"/>
                <w:lang w:val="en-US" w:eastAsia="zh-CN"/>
              </w:rPr>
              <w:t>款</w:t>
            </w:r>
          </w:p>
        </w:tc>
        <w:tc>
          <w:tcPr>
            <w:tcW w:w="1742" w:type="dxa"/>
            <w:noWrap w:val="0"/>
            <w:vAlign w:val="center"/>
          </w:tcPr>
          <w:p w14:paraId="085413E0">
            <w:pPr>
              <w:adjustRightInd w:val="0"/>
              <w:snapToGrid w:val="0"/>
              <w:jc w:val="left"/>
              <w:rPr>
                <w:rFonts w:ascii="宋体" w:hAnsi="宋体"/>
                <w:szCs w:val="21"/>
                <w:highlight w:val="none"/>
              </w:rPr>
            </w:pPr>
            <w:r>
              <w:rPr>
                <w:rFonts w:hint="eastAsia" w:ascii="宋体" w:hAnsi="宋体"/>
                <w:szCs w:val="21"/>
                <w:highlight w:val="none"/>
              </w:rPr>
              <w:t>包装</w:t>
            </w:r>
            <w:r>
              <w:rPr>
                <w:rFonts w:hint="eastAsia" w:ascii="宋体" w:hAnsi="宋体"/>
                <w:szCs w:val="21"/>
                <w:highlight w:val="none"/>
                <w:lang w:eastAsia="zh-CN"/>
              </w:rPr>
              <w:t>特殊要求</w:t>
            </w:r>
          </w:p>
        </w:tc>
        <w:tc>
          <w:tcPr>
            <w:tcW w:w="5170" w:type="dxa"/>
            <w:noWrap w:val="0"/>
            <w:vAlign w:val="center"/>
          </w:tcPr>
          <w:p w14:paraId="710D7E94">
            <w:pPr>
              <w:rPr>
                <w:highlight w:val="none"/>
              </w:rPr>
            </w:pPr>
          </w:p>
        </w:tc>
      </w:tr>
      <w:tr w14:paraId="1ABD49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6C01AF07">
            <w:pPr>
              <w:adjustRightInd w:val="0"/>
              <w:snapToGrid w:val="0"/>
              <w:jc w:val="center"/>
              <w:rPr>
                <w:rFonts w:hint="eastAsia" w:ascii="宋体" w:hAnsi="宋体"/>
                <w:szCs w:val="21"/>
                <w:highlight w:val="none"/>
              </w:rPr>
            </w:pPr>
          </w:p>
        </w:tc>
        <w:tc>
          <w:tcPr>
            <w:tcW w:w="1742" w:type="dxa"/>
            <w:noWrap w:val="0"/>
            <w:vAlign w:val="center"/>
          </w:tcPr>
          <w:p w14:paraId="3DD84AEA">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指定现场</w:t>
            </w:r>
          </w:p>
        </w:tc>
        <w:tc>
          <w:tcPr>
            <w:tcW w:w="5170" w:type="dxa"/>
            <w:noWrap w:val="0"/>
            <w:vAlign w:val="center"/>
          </w:tcPr>
          <w:p w14:paraId="28E6918C">
            <w:pPr>
              <w:rPr>
                <w:rFonts w:hint="eastAsia"/>
                <w:highlight w:val="none"/>
              </w:rPr>
            </w:pPr>
          </w:p>
        </w:tc>
      </w:tr>
      <w:tr w14:paraId="63BD64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3A96EB3D">
            <w:pPr>
              <w:adjustRightInd w:val="0"/>
              <w:snapToGrid w:val="0"/>
              <w:jc w:val="center"/>
              <w:rPr>
                <w:rFonts w:ascii="宋体" w:hAnsi="宋体"/>
                <w:szCs w:val="21"/>
                <w:highlight w:val="none"/>
              </w:rPr>
            </w:pPr>
            <w:r>
              <w:rPr>
                <w:rFonts w:hint="eastAsia" w:ascii="宋体" w:hAnsi="宋体"/>
                <w:szCs w:val="21"/>
                <w:highlight w:val="none"/>
              </w:rPr>
              <w:t>第二节</w:t>
            </w:r>
          </w:p>
          <w:p w14:paraId="6FDC0CD5">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.2</w:t>
            </w:r>
            <w:r>
              <w:rPr>
                <w:rFonts w:hint="eastAsia" w:ascii="宋体" w:hAnsi="宋体"/>
                <w:szCs w:val="21"/>
                <w:highlight w:val="none"/>
                <w:lang w:val="en-US" w:eastAsia="zh-CN"/>
              </w:rPr>
              <w:t>款</w:t>
            </w:r>
          </w:p>
        </w:tc>
        <w:tc>
          <w:tcPr>
            <w:tcW w:w="1742" w:type="dxa"/>
            <w:noWrap w:val="0"/>
            <w:vAlign w:val="center"/>
          </w:tcPr>
          <w:p w14:paraId="7A72DD9D">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运输特殊要求</w:t>
            </w:r>
          </w:p>
        </w:tc>
        <w:tc>
          <w:tcPr>
            <w:tcW w:w="5170" w:type="dxa"/>
            <w:noWrap w:val="0"/>
            <w:vAlign w:val="center"/>
          </w:tcPr>
          <w:p w14:paraId="71D71CEF">
            <w:pPr>
              <w:rPr>
                <w:rFonts w:hint="eastAsia"/>
                <w:highlight w:val="none"/>
              </w:rPr>
            </w:pPr>
          </w:p>
        </w:tc>
      </w:tr>
      <w:tr w14:paraId="21C91B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63A5CA5D">
            <w:pPr>
              <w:adjustRightInd w:val="0"/>
              <w:snapToGrid w:val="0"/>
              <w:jc w:val="center"/>
              <w:rPr>
                <w:rFonts w:ascii="宋体" w:hAnsi="宋体"/>
                <w:szCs w:val="21"/>
                <w:highlight w:val="none"/>
              </w:rPr>
            </w:pPr>
            <w:r>
              <w:rPr>
                <w:rFonts w:hint="eastAsia" w:ascii="宋体" w:hAnsi="宋体"/>
                <w:szCs w:val="21"/>
                <w:highlight w:val="none"/>
              </w:rPr>
              <w:t>第二节</w:t>
            </w:r>
          </w:p>
          <w:p w14:paraId="41CFF5F4">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.3</w:t>
            </w:r>
            <w:r>
              <w:rPr>
                <w:rFonts w:hint="eastAsia" w:ascii="宋体" w:hAnsi="宋体"/>
                <w:szCs w:val="21"/>
                <w:highlight w:val="none"/>
                <w:lang w:val="en-US" w:eastAsia="zh-CN"/>
              </w:rPr>
              <w:t>款</w:t>
            </w:r>
          </w:p>
        </w:tc>
        <w:tc>
          <w:tcPr>
            <w:tcW w:w="1742" w:type="dxa"/>
            <w:noWrap w:val="0"/>
            <w:vAlign w:val="center"/>
          </w:tcPr>
          <w:p w14:paraId="4697D56E">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保险要求</w:t>
            </w:r>
          </w:p>
        </w:tc>
        <w:tc>
          <w:tcPr>
            <w:tcW w:w="5170" w:type="dxa"/>
            <w:noWrap w:val="0"/>
            <w:vAlign w:val="center"/>
          </w:tcPr>
          <w:p w14:paraId="402B9777">
            <w:pPr>
              <w:rPr>
                <w:rFonts w:hint="eastAsia"/>
                <w:highlight w:val="none"/>
              </w:rPr>
            </w:pPr>
          </w:p>
        </w:tc>
      </w:tr>
      <w:tr w14:paraId="15DE4C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34D0BD1">
            <w:pPr>
              <w:adjustRightInd w:val="0"/>
              <w:snapToGrid w:val="0"/>
              <w:jc w:val="center"/>
              <w:rPr>
                <w:rFonts w:ascii="宋体" w:hAnsi="宋体"/>
                <w:szCs w:val="21"/>
                <w:highlight w:val="none"/>
              </w:rPr>
            </w:pPr>
            <w:r>
              <w:rPr>
                <w:rFonts w:hint="eastAsia" w:ascii="宋体" w:hAnsi="宋体"/>
                <w:szCs w:val="21"/>
                <w:highlight w:val="none"/>
              </w:rPr>
              <w:t>第二节</w:t>
            </w:r>
          </w:p>
          <w:p w14:paraId="704C2436">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8</w:t>
            </w:r>
            <w:r>
              <w:rPr>
                <w:rFonts w:hint="eastAsia" w:ascii="宋体" w:hAnsi="宋体"/>
                <w:szCs w:val="21"/>
                <w:highlight w:val="none"/>
              </w:rPr>
              <w:t>.2（1）项</w:t>
            </w:r>
          </w:p>
        </w:tc>
        <w:tc>
          <w:tcPr>
            <w:tcW w:w="1742" w:type="dxa"/>
            <w:noWrap w:val="0"/>
            <w:vAlign w:val="center"/>
          </w:tcPr>
          <w:p w14:paraId="66E03847">
            <w:pPr>
              <w:adjustRightInd w:val="0"/>
              <w:snapToGrid w:val="0"/>
              <w:jc w:val="left"/>
              <w:rPr>
                <w:rFonts w:ascii="宋体" w:hAnsi="宋体"/>
                <w:szCs w:val="21"/>
                <w:highlight w:val="none"/>
              </w:rPr>
            </w:pPr>
            <w:r>
              <w:rPr>
                <w:rFonts w:hint="eastAsia" w:ascii="宋体" w:hAnsi="宋体"/>
                <w:szCs w:val="21"/>
                <w:highlight w:val="none"/>
              </w:rPr>
              <w:t>质量保证期</w:t>
            </w:r>
          </w:p>
        </w:tc>
        <w:tc>
          <w:tcPr>
            <w:tcW w:w="5170" w:type="dxa"/>
            <w:noWrap w:val="0"/>
            <w:vAlign w:val="center"/>
          </w:tcPr>
          <w:p w14:paraId="610631D4">
            <w:pPr>
              <w:autoSpaceDE w:val="0"/>
              <w:autoSpaceDN w:val="0"/>
              <w:adjustRightInd w:val="0"/>
              <w:snapToGrid w:val="0"/>
              <w:ind w:firstLine="400" w:firstLineChars="200"/>
              <w:jc w:val="left"/>
              <w:rPr>
                <w:rFonts w:ascii="宋体" w:hAnsi="宋体"/>
                <w:szCs w:val="21"/>
                <w:highlight w:val="none"/>
              </w:rPr>
            </w:pPr>
          </w:p>
        </w:tc>
      </w:tr>
      <w:tr w14:paraId="7A4DE5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68F6F4B">
            <w:pPr>
              <w:adjustRightInd w:val="0"/>
              <w:snapToGrid w:val="0"/>
              <w:jc w:val="center"/>
              <w:rPr>
                <w:rFonts w:ascii="宋体" w:hAnsi="宋体"/>
                <w:szCs w:val="21"/>
                <w:highlight w:val="none"/>
              </w:rPr>
            </w:pPr>
            <w:r>
              <w:rPr>
                <w:rFonts w:hint="eastAsia" w:ascii="宋体" w:hAnsi="宋体"/>
                <w:szCs w:val="21"/>
                <w:highlight w:val="none"/>
              </w:rPr>
              <w:t>第二节</w:t>
            </w:r>
          </w:p>
          <w:p w14:paraId="35D47A75">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8</w:t>
            </w:r>
            <w:r>
              <w:rPr>
                <w:rFonts w:hint="eastAsia" w:ascii="宋体" w:hAnsi="宋体"/>
                <w:szCs w:val="21"/>
                <w:highlight w:val="none"/>
              </w:rPr>
              <w:t>.2（3）项</w:t>
            </w:r>
          </w:p>
        </w:tc>
        <w:tc>
          <w:tcPr>
            <w:tcW w:w="1742" w:type="dxa"/>
            <w:noWrap w:val="0"/>
            <w:vAlign w:val="center"/>
          </w:tcPr>
          <w:p w14:paraId="68DE5DFF">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货物质量缺陷</w:t>
            </w:r>
          </w:p>
          <w:p w14:paraId="7CBDB37F">
            <w:pPr>
              <w:adjustRightInd w:val="0"/>
              <w:snapToGrid w:val="0"/>
              <w:jc w:val="left"/>
              <w:rPr>
                <w:rFonts w:ascii="宋体" w:hAnsi="宋体"/>
                <w:szCs w:val="21"/>
                <w:highlight w:val="none"/>
              </w:rPr>
            </w:pPr>
            <w:r>
              <w:rPr>
                <w:rFonts w:hint="eastAsia" w:ascii="宋体" w:hAnsi="宋体"/>
                <w:szCs w:val="21"/>
                <w:highlight w:val="none"/>
              </w:rPr>
              <w:t>响应时间</w:t>
            </w:r>
          </w:p>
        </w:tc>
        <w:tc>
          <w:tcPr>
            <w:tcW w:w="5170" w:type="dxa"/>
            <w:noWrap w:val="0"/>
            <w:vAlign w:val="center"/>
          </w:tcPr>
          <w:p w14:paraId="4E00E7E6">
            <w:pPr>
              <w:adjustRightInd w:val="0"/>
              <w:snapToGrid w:val="0"/>
              <w:jc w:val="left"/>
              <w:rPr>
                <w:rFonts w:ascii="宋体" w:hAnsi="宋体"/>
                <w:szCs w:val="21"/>
                <w:highlight w:val="none"/>
              </w:rPr>
            </w:pPr>
          </w:p>
        </w:tc>
      </w:tr>
      <w:tr w14:paraId="7B6DC8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97E976A">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第二节</w:t>
            </w:r>
          </w:p>
          <w:p w14:paraId="00A2234F">
            <w:pPr>
              <w:pStyle w:val="148"/>
              <w:ind w:firstLine="0" w:firstLineChars="0"/>
              <w:jc w:val="center"/>
              <w:rPr>
                <w:rFonts w:hint="default"/>
                <w:highlight w:val="none"/>
                <w:lang w:val="en-US" w:eastAsia="zh-CN"/>
              </w:rPr>
            </w:pPr>
            <w:r>
              <w:rPr>
                <w:rFonts w:hint="eastAsia" w:ascii="宋体" w:hAnsi="宋体" w:eastAsia="宋体" w:cs="宋体"/>
                <w:szCs w:val="21"/>
                <w:highlight w:val="none"/>
                <w:lang w:val="en-US" w:eastAsia="zh-CN"/>
              </w:rPr>
              <w:t>第11.1款</w:t>
            </w:r>
          </w:p>
        </w:tc>
        <w:tc>
          <w:tcPr>
            <w:tcW w:w="1742" w:type="dxa"/>
            <w:noWrap w:val="0"/>
            <w:vAlign w:val="center"/>
          </w:tcPr>
          <w:p w14:paraId="0526FBE4">
            <w:pPr>
              <w:adjustRightInd w:val="0"/>
              <w:snapToGrid w:val="0"/>
              <w:jc w:val="both"/>
              <w:rPr>
                <w:rFonts w:hint="default" w:ascii="宋体" w:hAnsi="宋体" w:eastAsia="宋体"/>
                <w:szCs w:val="21"/>
                <w:highlight w:val="none"/>
                <w:lang w:val="en-US" w:eastAsia="zh-CN"/>
              </w:rPr>
            </w:pPr>
            <w:r>
              <w:rPr>
                <w:rFonts w:hint="eastAsia" w:ascii="宋体" w:hAnsi="宋体"/>
                <w:szCs w:val="21"/>
                <w:highlight w:val="none"/>
                <w:lang w:val="en-US" w:eastAsia="zh-CN"/>
              </w:rPr>
              <w:t>其他应当保密的信息</w:t>
            </w:r>
          </w:p>
        </w:tc>
        <w:tc>
          <w:tcPr>
            <w:tcW w:w="5170" w:type="dxa"/>
            <w:noWrap w:val="0"/>
            <w:vAlign w:val="center"/>
          </w:tcPr>
          <w:p w14:paraId="05C2C083">
            <w:pPr>
              <w:adjustRightInd w:val="0"/>
              <w:snapToGrid w:val="0"/>
              <w:jc w:val="left"/>
              <w:rPr>
                <w:rFonts w:ascii="宋体" w:hAnsi="宋体"/>
                <w:szCs w:val="21"/>
                <w:highlight w:val="none"/>
              </w:rPr>
            </w:pPr>
          </w:p>
        </w:tc>
      </w:tr>
      <w:tr w14:paraId="76952B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18234449">
            <w:pPr>
              <w:adjustRightInd w:val="0"/>
              <w:snapToGrid w:val="0"/>
              <w:jc w:val="center"/>
              <w:rPr>
                <w:rFonts w:ascii="宋体" w:hAnsi="宋体"/>
                <w:szCs w:val="21"/>
                <w:highlight w:val="none"/>
              </w:rPr>
            </w:pPr>
            <w:r>
              <w:rPr>
                <w:rFonts w:hint="eastAsia" w:ascii="宋体" w:hAnsi="宋体"/>
                <w:szCs w:val="21"/>
                <w:highlight w:val="none"/>
              </w:rPr>
              <w:t>第二节</w:t>
            </w:r>
          </w:p>
          <w:p w14:paraId="302083C4">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2</w:t>
            </w:r>
            <w:r>
              <w:rPr>
                <w:rFonts w:hint="eastAsia" w:ascii="宋体" w:hAnsi="宋体"/>
                <w:szCs w:val="21"/>
                <w:highlight w:val="none"/>
              </w:rPr>
              <w:t>.2款</w:t>
            </w:r>
          </w:p>
        </w:tc>
        <w:tc>
          <w:tcPr>
            <w:tcW w:w="1742" w:type="dxa"/>
            <w:noWrap w:val="0"/>
            <w:vAlign w:val="center"/>
          </w:tcPr>
          <w:p w14:paraId="072BA1E9">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rPr>
              <w:t>合同价款支付</w:t>
            </w:r>
            <w:r>
              <w:rPr>
                <w:rFonts w:hint="eastAsia" w:ascii="宋体" w:hAnsi="宋体"/>
                <w:szCs w:val="21"/>
                <w:highlight w:val="none"/>
                <w:lang w:eastAsia="zh-CN"/>
              </w:rPr>
              <w:t>时间</w:t>
            </w:r>
          </w:p>
        </w:tc>
        <w:tc>
          <w:tcPr>
            <w:tcW w:w="5170" w:type="dxa"/>
            <w:noWrap w:val="0"/>
            <w:vAlign w:val="center"/>
          </w:tcPr>
          <w:p w14:paraId="08BB3E1A">
            <w:pPr>
              <w:adjustRightInd w:val="0"/>
              <w:snapToGrid w:val="0"/>
              <w:jc w:val="left"/>
              <w:rPr>
                <w:rFonts w:ascii="宋体" w:hAnsi="宋体"/>
                <w:szCs w:val="21"/>
                <w:highlight w:val="none"/>
              </w:rPr>
            </w:pPr>
          </w:p>
        </w:tc>
      </w:tr>
      <w:tr w14:paraId="523604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284AE94C">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4B823CCD">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13.2</w:t>
            </w:r>
            <w:r>
              <w:rPr>
                <w:rFonts w:hint="eastAsia" w:ascii="宋体" w:hAnsi="宋体"/>
                <w:szCs w:val="21"/>
                <w:highlight w:val="none"/>
              </w:rPr>
              <w:t>款</w:t>
            </w:r>
          </w:p>
        </w:tc>
        <w:tc>
          <w:tcPr>
            <w:tcW w:w="1742" w:type="dxa"/>
            <w:noWrap w:val="0"/>
            <w:vAlign w:val="center"/>
          </w:tcPr>
          <w:p w14:paraId="28C6B244">
            <w:pPr>
              <w:adjustRightInd w:val="0"/>
              <w:snapToGrid w:val="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履约保证金不予退还的情形</w:t>
            </w:r>
          </w:p>
        </w:tc>
        <w:tc>
          <w:tcPr>
            <w:tcW w:w="5170" w:type="dxa"/>
            <w:noWrap w:val="0"/>
            <w:vAlign w:val="center"/>
          </w:tcPr>
          <w:p w14:paraId="0A27801E">
            <w:pPr>
              <w:adjustRightInd w:val="0"/>
              <w:snapToGrid w:val="0"/>
              <w:jc w:val="left"/>
              <w:rPr>
                <w:rFonts w:ascii="宋体" w:hAnsi="宋体"/>
                <w:szCs w:val="21"/>
                <w:highlight w:val="none"/>
              </w:rPr>
            </w:pPr>
          </w:p>
        </w:tc>
      </w:tr>
      <w:tr w14:paraId="5150CD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A4AF60F">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26FC604D">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13.3</w:t>
            </w:r>
            <w:r>
              <w:rPr>
                <w:rFonts w:hint="eastAsia" w:ascii="宋体" w:hAnsi="宋体"/>
                <w:szCs w:val="21"/>
                <w:highlight w:val="none"/>
              </w:rPr>
              <w:t>款</w:t>
            </w:r>
          </w:p>
        </w:tc>
        <w:tc>
          <w:tcPr>
            <w:tcW w:w="1742" w:type="dxa"/>
            <w:noWrap w:val="0"/>
            <w:vAlign w:val="center"/>
          </w:tcPr>
          <w:p w14:paraId="195D5713">
            <w:pPr>
              <w:adjustRightInd w:val="0"/>
              <w:snapToGrid w:val="0"/>
              <w:jc w:val="left"/>
              <w:rPr>
                <w:rFonts w:ascii="宋体" w:hAnsi="宋体"/>
                <w:szCs w:val="21"/>
                <w:highlight w:val="none"/>
              </w:rPr>
            </w:pPr>
            <w:r>
              <w:rPr>
                <w:rFonts w:hint="eastAsia" w:ascii="宋体" w:hAnsi="宋体"/>
                <w:szCs w:val="21"/>
                <w:highlight w:val="none"/>
              </w:rPr>
              <w:t>履约保证金退还时间及</w:t>
            </w:r>
            <w:r>
              <w:rPr>
                <w:rFonts w:hint="eastAsia" w:ascii="宋体" w:hAnsi="宋体"/>
                <w:szCs w:val="21"/>
                <w:highlight w:val="none"/>
                <w:lang w:eastAsia="zh-CN"/>
              </w:rPr>
              <w:t>逾期退还的</w:t>
            </w:r>
            <w:r>
              <w:rPr>
                <w:rFonts w:hint="eastAsia" w:ascii="宋体" w:hAnsi="宋体"/>
                <w:szCs w:val="21"/>
                <w:highlight w:val="none"/>
              </w:rPr>
              <w:t>违约金</w:t>
            </w:r>
          </w:p>
        </w:tc>
        <w:tc>
          <w:tcPr>
            <w:tcW w:w="5170" w:type="dxa"/>
            <w:noWrap w:val="0"/>
            <w:vAlign w:val="center"/>
          </w:tcPr>
          <w:p w14:paraId="0D4F8A78">
            <w:pPr>
              <w:adjustRightInd w:val="0"/>
              <w:snapToGrid w:val="0"/>
              <w:jc w:val="left"/>
              <w:rPr>
                <w:rFonts w:ascii="宋体" w:hAnsi="宋体"/>
                <w:szCs w:val="21"/>
                <w:highlight w:val="none"/>
              </w:rPr>
            </w:pPr>
          </w:p>
        </w:tc>
      </w:tr>
      <w:tr w14:paraId="04B8B0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3CEEBFC0">
            <w:pPr>
              <w:adjustRightInd w:val="0"/>
              <w:snapToGrid w:val="0"/>
              <w:jc w:val="center"/>
              <w:rPr>
                <w:rFonts w:ascii="宋体" w:hAnsi="宋体"/>
                <w:szCs w:val="21"/>
                <w:highlight w:val="none"/>
              </w:rPr>
            </w:pPr>
            <w:r>
              <w:rPr>
                <w:rFonts w:hint="eastAsia" w:ascii="宋体" w:hAnsi="宋体"/>
                <w:szCs w:val="21"/>
                <w:highlight w:val="none"/>
              </w:rPr>
              <w:t>第二节</w:t>
            </w:r>
          </w:p>
          <w:p w14:paraId="0D02E394">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3</w:t>
            </w:r>
            <w:r>
              <w:rPr>
                <w:rFonts w:hint="eastAsia" w:ascii="宋体" w:hAnsi="宋体"/>
                <w:szCs w:val="21"/>
                <w:highlight w:val="none"/>
              </w:rPr>
              <w:t>）项</w:t>
            </w:r>
          </w:p>
        </w:tc>
        <w:tc>
          <w:tcPr>
            <w:tcW w:w="1742" w:type="dxa"/>
            <w:noWrap w:val="0"/>
            <w:vAlign w:val="center"/>
          </w:tcPr>
          <w:p w14:paraId="73EBA6E0">
            <w:pPr>
              <w:adjustRightInd w:val="0"/>
              <w:snapToGrid w:val="0"/>
              <w:jc w:val="left"/>
              <w:rPr>
                <w:rFonts w:hint="eastAsia" w:ascii="宋体" w:hAnsi="宋体"/>
                <w:szCs w:val="21"/>
                <w:highlight w:val="none"/>
                <w:lang w:val="en-US" w:eastAsia="zh-CN"/>
              </w:rPr>
            </w:pPr>
            <w:r>
              <w:rPr>
                <w:rFonts w:hint="eastAsia" w:ascii="宋体" w:hAnsi="宋体"/>
                <w:szCs w:val="21"/>
                <w:highlight w:val="none"/>
                <w:lang w:val="en-US" w:eastAsia="zh-CN"/>
              </w:rPr>
              <w:t>运行监督、维修期限</w:t>
            </w:r>
          </w:p>
        </w:tc>
        <w:tc>
          <w:tcPr>
            <w:tcW w:w="5170" w:type="dxa"/>
            <w:noWrap w:val="0"/>
            <w:vAlign w:val="center"/>
          </w:tcPr>
          <w:p w14:paraId="25BAFF4A">
            <w:pPr>
              <w:adjustRightInd w:val="0"/>
              <w:snapToGrid w:val="0"/>
              <w:jc w:val="left"/>
              <w:rPr>
                <w:rFonts w:ascii="宋体" w:hAnsi="宋体"/>
                <w:szCs w:val="21"/>
                <w:highlight w:val="none"/>
              </w:rPr>
            </w:pPr>
          </w:p>
        </w:tc>
      </w:tr>
      <w:tr w14:paraId="42A463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33F62E62">
            <w:pPr>
              <w:adjustRightInd w:val="0"/>
              <w:snapToGrid w:val="0"/>
              <w:jc w:val="center"/>
              <w:rPr>
                <w:rFonts w:ascii="宋体" w:hAnsi="宋体"/>
                <w:szCs w:val="21"/>
                <w:highlight w:val="none"/>
              </w:rPr>
            </w:pPr>
            <w:r>
              <w:rPr>
                <w:rFonts w:hint="eastAsia" w:ascii="宋体" w:hAnsi="宋体"/>
                <w:szCs w:val="21"/>
                <w:highlight w:val="none"/>
              </w:rPr>
              <w:t>第二节</w:t>
            </w:r>
          </w:p>
          <w:p w14:paraId="056DECFA">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5</w:t>
            </w:r>
            <w:r>
              <w:rPr>
                <w:rFonts w:hint="eastAsia" w:ascii="宋体" w:hAnsi="宋体"/>
                <w:szCs w:val="21"/>
                <w:highlight w:val="none"/>
              </w:rPr>
              <w:t>）项</w:t>
            </w:r>
          </w:p>
        </w:tc>
        <w:tc>
          <w:tcPr>
            <w:tcW w:w="1742" w:type="dxa"/>
            <w:noWrap w:val="0"/>
            <w:vAlign w:val="center"/>
          </w:tcPr>
          <w:p w14:paraId="2F45664E">
            <w:pPr>
              <w:adjustRightInd w:val="0"/>
              <w:snapToGrid w:val="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货物回收的约定</w:t>
            </w:r>
          </w:p>
        </w:tc>
        <w:tc>
          <w:tcPr>
            <w:tcW w:w="5170" w:type="dxa"/>
            <w:noWrap w:val="0"/>
            <w:vAlign w:val="center"/>
          </w:tcPr>
          <w:p w14:paraId="14DE2CC5">
            <w:pPr>
              <w:adjustRightInd w:val="0"/>
              <w:snapToGrid w:val="0"/>
              <w:jc w:val="left"/>
              <w:rPr>
                <w:rFonts w:ascii="宋体" w:hAnsi="宋体"/>
                <w:szCs w:val="21"/>
                <w:highlight w:val="none"/>
              </w:rPr>
            </w:pPr>
          </w:p>
        </w:tc>
      </w:tr>
      <w:tr w14:paraId="357092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E6C74FE">
            <w:pPr>
              <w:adjustRightInd w:val="0"/>
              <w:snapToGrid w:val="0"/>
              <w:jc w:val="center"/>
              <w:rPr>
                <w:rFonts w:ascii="宋体" w:hAnsi="宋体"/>
                <w:szCs w:val="21"/>
                <w:highlight w:val="none"/>
              </w:rPr>
            </w:pPr>
            <w:r>
              <w:rPr>
                <w:rFonts w:hint="eastAsia" w:ascii="宋体" w:hAnsi="宋体"/>
                <w:szCs w:val="21"/>
                <w:highlight w:val="none"/>
              </w:rPr>
              <w:t>第二节</w:t>
            </w:r>
          </w:p>
          <w:p w14:paraId="6395D3DD">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6</w:t>
            </w:r>
            <w:r>
              <w:rPr>
                <w:rFonts w:hint="eastAsia" w:ascii="宋体" w:hAnsi="宋体"/>
                <w:szCs w:val="21"/>
                <w:highlight w:val="none"/>
              </w:rPr>
              <w:t>）项</w:t>
            </w:r>
          </w:p>
        </w:tc>
        <w:tc>
          <w:tcPr>
            <w:tcW w:w="1742" w:type="dxa"/>
            <w:noWrap w:val="0"/>
            <w:vAlign w:val="center"/>
          </w:tcPr>
          <w:p w14:paraId="584333FD">
            <w:pPr>
              <w:adjustRightInd w:val="0"/>
              <w:snapToGrid w:val="0"/>
              <w:jc w:val="left"/>
              <w:rPr>
                <w:rFonts w:ascii="宋体" w:hAnsi="宋体"/>
                <w:szCs w:val="21"/>
                <w:highlight w:val="none"/>
              </w:rPr>
            </w:pPr>
            <w:r>
              <w:rPr>
                <w:rFonts w:hint="eastAsia" w:ascii="宋体" w:hAnsi="宋体"/>
                <w:szCs w:val="21"/>
                <w:highlight w:val="none"/>
              </w:rPr>
              <w:t>乙方提供的其他服务</w:t>
            </w:r>
          </w:p>
        </w:tc>
        <w:tc>
          <w:tcPr>
            <w:tcW w:w="5170" w:type="dxa"/>
            <w:noWrap w:val="0"/>
            <w:vAlign w:val="center"/>
          </w:tcPr>
          <w:p w14:paraId="23270C39">
            <w:pPr>
              <w:adjustRightInd w:val="0"/>
              <w:snapToGrid w:val="0"/>
              <w:jc w:val="left"/>
              <w:rPr>
                <w:rFonts w:ascii="宋体" w:hAnsi="宋体"/>
                <w:szCs w:val="21"/>
                <w:highlight w:val="none"/>
              </w:rPr>
            </w:pPr>
          </w:p>
        </w:tc>
      </w:tr>
      <w:tr w14:paraId="630C6C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A215438">
            <w:pPr>
              <w:adjustRightInd w:val="0"/>
              <w:snapToGrid w:val="0"/>
              <w:jc w:val="center"/>
              <w:rPr>
                <w:rFonts w:ascii="宋体" w:hAnsi="宋体"/>
                <w:szCs w:val="21"/>
                <w:highlight w:val="none"/>
              </w:rPr>
            </w:pPr>
            <w:r>
              <w:rPr>
                <w:rFonts w:hint="eastAsia" w:ascii="宋体" w:hAnsi="宋体"/>
                <w:szCs w:val="21"/>
                <w:highlight w:val="none"/>
              </w:rPr>
              <w:t>第二节</w:t>
            </w:r>
          </w:p>
          <w:p w14:paraId="5EF6CA09">
            <w:pPr>
              <w:adjustRightInd w:val="0"/>
              <w:snapToGrid w:val="0"/>
              <w:jc w:val="center"/>
              <w:rPr>
                <w:rFonts w:hint="default" w:ascii="宋体" w:hAnsi="宋体" w:eastAsia="宋体"/>
                <w:szCs w:val="21"/>
                <w:highlight w:val="none"/>
                <w:lang w:val="en-US" w:eastAsia="zh-CN"/>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szCs w:val="21"/>
                <w:highlight w:val="none"/>
                <w:lang w:val="en-US" w:eastAsia="zh-CN"/>
              </w:rPr>
              <w:t>1款</w:t>
            </w:r>
          </w:p>
        </w:tc>
        <w:tc>
          <w:tcPr>
            <w:tcW w:w="1742" w:type="dxa"/>
            <w:noWrap w:val="0"/>
            <w:vAlign w:val="center"/>
          </w:tcPr>
          <w:p w14:paraId="4A733495">
            <w:pPr>
              <w:adjustRightInd w:val="0"/>
              <w:snapToGrid w:val="0"/>
              <w:jc w:val="left"/>
              <w:rPr>
                <w:rFonts w:hint="eastAsia" w:ascii="宋体" w:hAnsi="宋体"/>
                <w:szCs w:val="21"/>
                <w:highlight w:val="none"/>
              </w:rPr>
            </w:pPr>
            <w:r>
              <w:rPr>
                <w:rFonts w:hint="eastAsia" w:ascii="宋体" w:hAnsi="宋体"/>
                <w:color w:val="auto"/>
                <w:szCs w:val="21"/>
                <w:highlight w:val="none"/>
                <w:lang w:eastAsia="zh-CN"/>
              </w:rPr>
              <w:t>修理、重作、更换相关具体规定</w:t>
            </w:r>
          </w:p>
        </w:tc>
        <w:tc>
          <w:tcPr>
            <w:tcW w:w="5170" w:type="dxa"/>
            <w:noWrap w:val="0"/>
            <w:vAlign w:val="center"/>
          </w:tcPr>
          <w:p w14:paraId="5BCB533B">
            <w:pPr>
              <w:adjustRightInd w:val="0"/>
              <w:snapToGrid w:val="0"/>
              <w:jc w:val="left"/>
              <w:rPr>
                <w:rFonts w:ascii="宋体" w:hAnsi="宋体"/>
                <w:szCs w:val="21"/>
                <w:highlight w:val="none"/>
              </w:rPr>
            </w:pPr>
          </w:p>
        </w:tc>
      </w:tr>
      <w:tr w14:paraId="7BDC3F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D32FDFE">
            <w:pPr>
              <w:adjustRightInd w:val="0"/>
              <w:snapToGrid w:val="0"/>
              <w:jc w:val="center"/>
              <w:rPr>
                <w:rFonts w:ascii="宋体" w:hAnsi="宋体"/>
                <w:szCs w:val="21"/>
                <w:highlight w:val="none"/>
              </w:rPr>
            </w:pPr>
            <w:r>
              <w:rPr>
                <w:rFonts w:hint="eastAsia" w:ascii="宋体" w:hAnsi="宋体"/>
                <w:szCs w:val="21"/>
                <w:highlight w:val="none"/>
              </w:rPr>
              <w:t>第二节</w:t>
            </w:r>
          </w:p>
          <w:p w14:paraId="591FB15C">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.2（2）项</w:t>
            </w:r>
          </w:p>
        </w:tc>
        <w:tc>
          <w:tcPr>
            <w:tcW w:w="1742" w:type="dxa"/>
            <w:noWrap w:val="0"/>
            <w:vAlign w:val="center"/>
          </w:tcPr>
          <w:p w14:paraId="2953A252">
            <w:pPr>
              <w:adjustRightInd w:val="0"/>
              <w:snapToGrid w:val="0"/>
              <w:jc w:val="left"/>
              <w:rPr>
                <w:rFonts w:ascii="宋体" w:hAnsi="宋体"/>
                <w:szCs w:val="21"/>
                <w:highlight w:val="none"/>
              </w:rPr>
            </w:pPr>
            <w:r>
              <w:rPr>
                <w:rFonts w:hint="eastAsia" w:ascii="宋体" w:hAnsi="宋体"/>
                <w:szCs w:val="21"/>
                <w:highlight w:val="none"/>
              </w:rPr>
              <w:t>迟延交货赔偿费</w:t>
            </w:r>
          </w:p>
        </w:tc>
        <w:tc>
          <w:tcPr>
            <w:tcW w:w="5170" w:type="dxa"/>
            <w:noWrap w:val="0"/>
            <w:vAlign w:val="center"/>
          </w:tcPr>
          <w:p w14:paraId="1DA2316C">
            <w:pPr>
              <w:adjustRightInd w:val="0"/>
              <w:snapToGrid w:val="0"/>
              <w:jc w:val="left"/>
              <w:rPr>
                <w:rFonts w:ascii="宋体" w:hAnsi="宋体"/>
                <w:szCs w:val="21"/>
                <w:highlight w:val="none"/>
                <w:u w:val="single"/>
              </w:rPr>
            </w:pPr>
          </w:p>
        </w:tc>
      </w:tr>
      <w:tr w14:paraId="063F4A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6AE0BBB">
            <w:pPr>
              <w:adjustRightInd w:val="0"/>
              <w:snapToGrid w:val="0"/>
              <w:jc w:val="center"/>
              <w:rPr>
                <w:rFonts w:ascii="宋体" w:hAnsi="宋体"/>
                <w:szCs w:val="21"/>
                <w:highlight w:val="none"/>
              </w:rPr>
            </w:pPr>
            <w:r>
              <w:rPr>
                <w:rFonts w:hint="eastAsia" w:ascii="宋体" w:hAnsi="宋体"/>
                <w:szCs w:val="21"/>
                <w:highlight w:val="none"/>
              </w:rPr>
              <w:t>第二节</w:t>
            </w:r>
          </w:p>
          <w:p w14:paraId="113500D5">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szCs w:val="21"/>
                <w:highlight w:val="none"/>
                <w:lang w:val="en-US" w:eastAsia="zh-CN"/>
              </w:rPr>
              <w:t>3款</w:t>
            </w:r>
          </w:p>
        </w:tc>
        <w:tc>
          <w:tcPr>
            <w:tcW w:w="1742" w:type="dxa"/>
            <w:noWrap w:val="0"/>
            <w:vAlign w:val="center"/>
          </w:tcPr>
          <w:p w14:paraId="31E4F99D">
            <w:pPr>
              <w:adjustRightInd w:val="0"/>
              <w:snapToGrid w:val="0"/>
              <w:jc w:val="left"/>
              <w:rPr>
                <w:rFonts w:hint="eastAsia" w:ascii="宋体" w:hAnsi="宋体"/>
                <w:szCs w:val="21"/>
                <w:highlight w:val="none"/>
              </w:rPr>
            </w:pPr>
            <w:r>
              <w:rPr>
                <w:rFonts w:hint="eastAsia" w:ascii="宋体" w:hAnsi="宋体"/>
                <w:szCs w:val="21"/>
                <w:highlight w:val="none"/>
              </w:rPr>
              <w:t>逾期付款利息</w:t>
            </w:r>
          </w:p>
        </w:tc>
        <w:tc>
          <w:tcPr>
            <w:tcW w:w="5170" w:type="dxa"/>
            <w:noWrap w:val="0"/>
            <w:vAlign w:val="center"/>
          </w:tcPr>
          <w:p w14:paraId="3735C868">
            <w:pPr>
              <w:adjustRightInd w:val="0"/>
              <w:snapToGrid w:val="0"/>
              <w:jc w:val="left"/>
              <w:rPr>
                <w:rFonts w:ascii="宋体" w:hAnsi="宋体"/>
                <w:szCs w:val="21"/>
                <w:highlight w:val="none"/>
                <w:u w:val="single"/>
              </w:rPr>
            </w:pPr>
          </w:p>
        </w:tc>
      </w:tr>
      <w:tr w14:paraId="78F4D4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532E2057">
            <w:pPr>
              <w:adjustRightInd w:val="0"/>
              <w:snapToGrid w:val="0"/>
              <w:jc w:val="center"/>
              <w:rPr>
                <w:rFonts w:ascii="宋体" w:hAnsi="宋体"/>
                <w:szCs w:val="21"/>
                <w:highlight w:val="none"/>
              </w:rPr>
            </w:pPr>
            <w:r>
              <w:rPr>
                <w:rFonts w:hint="eastAsia" w:ascii="宋体" w:hAnsi="宋体"/>
                <w:szCs w:val="21"/>
                <w:highlight w:val="none"/>
              </w:rPr>
              <w:t>第二节</w:t>
            </w:r>
          </w:p>
          <w:p w14:paraId="43934FE1">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.4</w:t>
            </w:r>
            <w:r>
              <w:rPr>
                <w:rFonts w:hint="eastAsia" w:ascii="宋体" w:hAnsi="宋体"/>
                <w:szCs w:val="21"/>
                <w:highlight w:val="none"/>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69E52D22">
            <w:pPr>
              <w:adjustRightInd w:val="0"/>
              <w:snapToGrid w:val="0"/>
              <w:jc w:val="left"/>
              <w:rPr>
                <w:rFonts w:ascii="宋体" w:hAnsi="宋体"/>
                <w:szCs w:val="21"/>
                <w:highlight w:val="none"/>
              </w:rPr>
            </w:pPr>
            <w:r>
              <w:rPr>
                <w:rFonts w:hint="eastAsia" w:ascii="宋体" w:hAnsi="宋体"/>
                <w:szCs w:val="21"/>
                <w:highlight w:val="none"/>
              </w:rPr>
              <w:t>其他违约责任</w:t>
            </w:r>
          </w:p>
        </w:tc>
        <w:tc>
          <w:tcPr>
            <w:tcW w:w="5170" w:type="dxa"/>
            <w:tcBorders>
              <w:left w:val="single" w:color="auto" w:sz="2" w:space="0"/>
              <w:bottom w:val="single" w:color="auto" w:sz="2" w:space="0"/>
            </w:tcBorders>
            <w:noWrap w:val="0"/>
            <w:vAlign w:val="center"/>
          </w:tcPr>
          <w:p w14:paraId="7CF5309F">
            <w:pPr>
              <w:adjustRightInd w:val="0"/>
              <w:snapToGrid w:val="0"/>
              <w:jc w:val="left"/>
              <w:rPr>
                <w:rFonts w:ascii="宋体" w:hAnsi="宋体"/>
                <w:szCs w:val="21"/>
                <w:highlight w:val="none"/>
                <w:u w:val="single"/>
              </w:rPr>
            </w:pPr>
          </w:p>
        </w:tc>
      </w:tr>
      <w:tr w14:paraId="7DAB18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36B0A4FC">
            <w:pPr>
              <w:adjustRightInd w:val="0"/>
              <w:snapToGrid w:val="0"/>
              <w:jc w:val="center"/>
              <w:rPr>
                <w:rFonts w:ascii="宋体" w:hAnsi="宋体"/>
                <w:szCs w:val="21"/>
                <w:highlight w:val="none"/>
              </w:rPr>
            </w:pPr>
            <w:r>
              <w:rPr>
                <w:rFonts w:hint="eastAsia" w:ascii="宋体" w:hAnsi="宋体"/>
                <w:szCs w:val="21"/>
                <w:highlight w:val="none"/>
              </w:rPr>
              <w:t>第二节</w:t>
            </w:r>
          </w:p>
          <w:p w14:paraId="3D15FB56">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19</w:t>
            </w:r>
            <w:r>
              <w:rPr>
                <w:rFonts w:hint="eastAsia" w:ascii="宋体" w:hAnsi="宋体"/>
                <w:szCs w:val="21"/>
                <w:highlight w:val="none"/>
              </w:rPr>
              <w:t>.2</w:t>
            </w:r>
            <w:r>
              <w:rPr>
                <w:rFonts w:hint="eastAsia" w:ascii="宋体" w:hAnsi="宋体"/>
                <w:szCs w:val="21"/>
                <w:highlight w:val="none"/>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2E3BCB9C">
            <w:pPr>
              <w:adjustRightInd w:val="0"/>
              <w:snapToGrid w:val="0"/>
              <w:jc w:val="left"/>
              <w:rPr>
                <w:rFonts w:ascii="宋体" w:hAnsi="宋体"/>
                <w:szCs w:val="21"/>
                <w:highlight w:val="none"/>
              </w:rPr>
            </w:pPr>
            <w:r>
              <w:rPr>
                <w:rFonts w:hint="eastAsia" w:ascii="宋体" w:hAnsi="宋体"/>
                <w:szCs w:val="21"/>
                <w:highlight w:val="none"/>
                <w:lang w:val="en-US" w:eastAsia="zh-CN"/>
              </w:rPr>
              <w:t>解决争议的方法</w:t>
            </w:r>
          </w:p>
        </w:tc>
        <w:tc>
          <w:tcPr>
            <w:tcW w:w="5170" w:type="dxa"/>
            <w:tcBorders>
              <w:top w:val="single" w:color="auto" w:sz="2" w:space="0"/>
              <w:left w:val="single" w:color="auto" w:sz="2" w:space="0"/>
            </w:tcBorders>
            <w:noWrap w:val="0"/>
            <w:vAlign w:val="center"/>
          </w:tcPr>
          <w:p w14:paraId="07B6936F">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因本合同及合同有关事项发生的争议，按下列第</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种方式解决：</w:t>
            </w:r>
          </w:p>
          <w:p w14:paraId="33295CCE">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（1）向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仲裁委员会申请仲裁，仲裁地点为</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w:t>
            </w:r>
          </w:p>
          <w:p w14:paraId="3EAD3FD1">
            <w:pPr>
              <w:adjustRightInd w:val="0"/>
              <w:snapToGrid w:val="0"/>
              <w:ind w:firstLine="0" w:firstLineChars="0"/>
              <w:jc w:val="left"/>
              <w:rPr>
                <w:rFonts w:ascii="宋体" w:hAnsi="宋体"/>
                <w:szCs w:val="21"/>
                <w:highlight w:val="none"/>
                <w:u w:val="single"/>
              </w:rPr>
            </w:pPr>
            <w:r>
              <w:rPr>
                <w:rFonts w:hint="eastAsia" w:ascii="宋体" w:hAnsi="宋体" w:eastAsia="宋体" w:cs="宋体"/>
                <w:b w:val="0"/>
                <w:bCs w:val="0"/>
                <w:iCs/>
                <w:szCs w:val="21"/>
                <w:highlight w:val="none"/>
              </w:rPr>
              <w:t>（2）向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人民法院起诉。</w:t>
            </w:r>
          </w:p>
        </w:tc>
      </w:tr>
      <w:tr w14:paraId="730C22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4D5E1A69">
            <w:pPr>
              <w:adjustRightInd w:val="0"/>
              <w:snapToGrid w:val="0"/>
              <w:jc w:val="center"/>
              <w:rPr>
                <w:rFonts w:ascii="宋体" w:hAnsi="宋体"/>
                <w:szCs w:val="21"/>
                <w:highlight w:val="none"/>
              </w:rPr>
            </w:pPr>
            <w:r>
              <w:rPr>
                <w:rFonts w:hint="eastAsia" w:ascii="宋体" w:hAnsi="宋体"/>
                <w:szCs w:val="21"/>
                <w:highlight w:val="none"/>
              </w:rPr>
              <w:t>第二节</w:t>
            </w:r>
          </w:p>
          <w:p w14:paraId="2BE837CE">
            <w:pPr>
              <w:adjustRightInd w:val="0"/>
              <w:snapToGrid w:val="0"/>
              <w:jc w:val="center"/>
              <w:rPr>
                <w:rFonts w:ascii="宋体" w:hAnsi="宋体"/>
                <w:szCs w:val="21"/>
                <w:highlight w:val="none"/>
              </w:rPr>
            </w:pPr>
            <w:r>
              <w:rPr>
                <w:rFonts w:hint="eastAsia" w:ascii="宋体" w:hAnsi="宋体"/>
                <w:szCs w:val="21"/>
                <w:highlight w:val="none"/>
              </w:rPr>
              <w:t>第2</w:t>
            </w:r>
            <w:r>
              <w:rPr>
                <w:rFonts w:hint="eastAsia" w:ascii="宋体" w:hAnsi="宋体"/>
                <w:szCs w:val="21"/>
                <w:highlight w:val="none"/>
                <w:lang w:val="en-US" w:eastAsia="zh-CN"/>
              </w:rPr>
              <w:t>3.1</w:t>
            </w:r>
            <w:r>
              <w:rPr>
                <w:rFonts w:hint="eastAsia" w:ascii="宋体" w:hAnsi="宋体"/>
                <w:szCs w:val="21"/>
                <w:highlight w:val="none"/>
                <w:lang w:eastAsia="zh-CN"/>
              </w:rPr>
              <w:t>款</w:t>
            </w:r>
          </w:p>
        </w:tc>
        <w:tc>
          <w:tcPr>
            <w:tcW w:w="1742" w:type="dxa"/>
            <w:noWrap w:val="0"/>
            <w:vAlign w:val="center"/>
          </w:tcPr>
          <w:p w14:paraId="03EDC4F4">
            <w:pPr>
              <w:adjustRightInd w:val="0"/>
              <w:snapToGrid w:val="0"/>
              <w:jc w:val="left"/>
              <w:rPr>
                <w:rFonts w:ascii="宋体" w:hAnsi="宋体"/>
                <w:szCs w:val="21"/>
                <w:highlight w:val="none"/>
              </w:rPr>
            </w:pPr>
            <w:r>
              <w:rPr>
                <w:rFonts w:hint="eastAsia" w:ascii="宋体" w:hAnsi="宋体"/>
                <w:bCs/>
                <w:color w:val="auto"/>
                <w:szCs w:val="21"/>
                <w:highlight w:val="none"/>
                <w:lang w:eastAsia="zh-CN"/>
              </w:rPr>
              <w:t>其他专用条款</w:t>
            </w:r>
          </w:p>
        </w:tc>
        <w:tc>
          <w:tcPr>
            <w:tcW w:w="5170" w:type="dxa"/>
            <w:noWrap w:val="0"/>
            <w:vAlign w:val="center"/>
          </w:tcPr>
          <w:p w14:paraId="644E25B6">
            <w:pPr>
              <w:adjustRightInd w:val="0"/>
              <w:snapToGrid w:val="0"/>
              <w:jc w:val="left"/>
              <w:rPr>
                <w:rFonts w:hint="default" w:ascii="宋体" w:hAnsi="宋体" w:eastAsia="宋体"/>
                <w:szCs w:val="21"/>
                <w:highlight w:val="none"/>
                <w:lang w:val="en-US" w:eastAsia="zh-CN"/>
              </w:rPr>
            </w:pPr>
          </w:p>
        </w:tc>
      </w:tr>
    </w:tbl>
    <w:p w14:paraId="2220DA87">
      <w:pPr>
        <w:rPr>
          <w:highlight w:val="none"/>
        </w:rPr>
      </w:pPr>
    </w:p>
    <w:p w14:paraId="7927F227">
      <w:pPr>
        <w:keepNext w:val="0"/>
        <w:keepLines w:val="0"/>
        <w:pageBreakBefore w:val="0"/>
        <w:kinsoku/>
        <w:wordWrap/>
        <w:overflowPunct/>
        <w:topLinePunct w:val="0"/>
        <w:autoSpaceDE/>
        <w:autoSpaceDN/>
        <w:bidi w:val="0"/>
        <w:adjustRightInd/>
        <w:snapToGrid/>
        <w:spacing w:line="400" w:lineRule="exact"/>
        <w:ind w:firstLine="400" w:firstLineChars="200"/>
        <w:rPr>
          <w:rFonts w:hint="eastAsia" w:ascii="宋体" w:hAnsi="宋体" w:eastAsia="宋体" w:cs="宋体"/>
          <w:color w:val="auto"/>
          <w:szCs w:val="21"/>
          <w:highlight w:val="none"/>
        </w:rPr>
      </w:pPr>
    </w:p>
    <w:p w14:paraId="6F694563">
      <w:pPr>
        <w:keepNext w:val="0"/>
        <w:keepLines w:val="0"/>
        <w:pageBreakBefore w:val="0"/>
        <w:kinsoku/>
        <w:wordWrap/>
        <w:overflowPunct/>
        <w:topLinePunct w:val="0"/>
        <w:autoSpaceDE/>
        <w:autoSpaceDN/>
        <w:bidi w:val="0"/>
        <w:adjustRightInd/>
        <w:snapToGrid/>
        <w:spacing w:line="288" w:lineRule="auto"/>
        <w:ind w:firstLine="241" w:firstLineChars="100"/>
        <w:textAlignment w:val="auto"/>
        <w:rPr>
          <w:rFonts w:hint="eastAsia" w:ascii="宋体" w:hAnsi="宋体" w:eastAsia="宋体" w:cs="宋体"/>
          <w:b/>
          <w:color w:val="auto"/>
          <w:kern w:val="44"/>
          <w:sz w:val="24"/>
          <w:szCs w:val="24"/>
          <w:highlight w:val="none"/>
        </w:rPr>
      </w:pPr>
    </w:p>
    <w:p w14:paraId="658CADCE">
      <w:pPr>
        <w:rPr>
          <w:rFonts w:hint="eastAsia" w:ascii="宋体" w:hAnsi="宋体" w:eastAsia="宋体" w:cs="宋体"/>
          <w:b/>
          <w:color w:val="auto"/>
          <w:kern w:val="44"/>
          <w:sz w:val="24"/>
          <w:szCs w:val="24"/>
          <w:highlight w:val="none"/>
          <w:lang w:eastAsia="zh-CN"/>
        </w:rPr>
      </w:pPr>
    </w:p>
    <w:p w14:paraId="27C7898A">
      <w:pPr>
        <w:rPr>
          <w:rFonts w:hint="eastAsia" w:ascii="宋体" w:hAnsi="宋体" w:eastAsia="宋体" w:cs="宋体"/>
          <w:b/>
          <w:color w:val="auto"/>
          <w:kern w:val="44"/>
          <w:sz w:val="24"/>
          <w:szCs w:val="24"/>
          <w:highlight w:val="none"/>
          <w:lang w:eastAsia="zh-CN"/>
        </w:rPr>
      </w:pPr>
    </w:p>
    <w:p w14:paraId="46DA8BD1">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kern w:val="44"/>
          <w:sz w:val="24"/>
          <w:szCs w:val="24"/>
          <w:highlight w:val="none"/>
          <w:lang w:eastAsia="zh-CN"/>
        </w:rPr>
      </w:pPr>
      <w:r>
        <w:rPr>
          <w:rFonts w:hint="eastAsia" w:ascii="宋体" w:hAnsi="宋体" w:eastAsia="宋体" w:cs="宋体"/>
          <w:b/>
          <w:color w:val="auto"/>
          <w:kern w:val="44"/>
          <w:sz w:val="24"/>
          <w:szCs w:val="24"/>
          <w:highlight w:val="none"/>
          <w:lang w:eastAsia="zh-CN"/>
        </w:rPr>
        <w:t>注：此合同为参考模板，具体以双方实际签订为准。</w:t>
      </w:r>
    </w:p>
    <w:p w14:paraId="3989DEA1">
      <w:pPr>
        <w:pStyle w:val="4"/>
        <w:keepNext/>
        <w:keepLines/>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36"/>
          <w:szCs w:val="36"/>
          <w:highlight w:val="none"/>
        </w:rPr>
      </w:pPr>
    </w:p>
    <w:p w14:paraId="24A14906">
      <w:pPr>
        <w:rPr>
          <w:rFonts w:hint="eastAsia" w:ascii="宋体" w:hAnsi="宋体" w:eastAsia="宋体" w:cs="宋体"/>
          <w:color w:val="auto"/>
          <w:sz w:val="36"/>
          <w:szCs w:val="36"/>
          <w:highlight w:val="none"/>
        </w:rPr>
      </w:pPr>
    </w:p>
    <w:p w14:paraId="568061AB">
      <w:pPr>
        <w:pStyle w:val="18"/>
        <w:rPr>
          <w:rFonts w:hint="eastAsia" w:ascii="宋体" w:hAnsi="宋体" w:eastAsia="宋体" w:cs="宋体"/>
          <w:color w:val="auto"/>
          <w:sz w:val="36"/>
          <w:szCs w:val="36"/>
          <w:highlight w:val="none"/>
        </w:rPr>
      </w:pPr>
    </w:p>
    <w:p w14:paraId="58E67F69">
      <w:pPr>
        <w:pStyle w:val="18"/>
        <w:rPr>
          <w:rFonts w:hint="eastAsia" w:ascii="宋体" w:hAnsi="宋体" w:eastAsia="宋体" w:cs="宋体"/>
          <w:color w:val="auto"/>
          <w:sz w:val="36"/>
          <w:szCs w:val="36"/>
          <w:highlight w:val="yellow"/>
        </w:rPr>
      </w:pPr>
    </w:p>
    <w:p w14:paraId="054D508C">
      <w:pPr>
        <w:pStyle w:val="18"/>
        <w:rPr>
          <w:rFonts w:hint="eastAsia" w:ascii="宋体" w:hAnsi="宋体" w:eastAsia="宋体" w:cs="宋体"/>
          <w:color w:val="auto"/>
          <w:sz w:val="36"/>
          <w:szCs w:val="36"/>
          <w:highlight w:val="yellow"/>
        </w:rPr>
      </w:pPr>
    </w:p>
    <w:p w14:paraId="08AC1A0A">
      <w:pPr>
        <w:pStyle w:val="18"/>
        <w:rPr>
          <w:rFonts w:hint="eastAsia" w:ascii="宋体" w:hAnsi="宋体" w:eastAsia="宋体" w:cs="宋体"/>
          <w:color w:val="auto"/>
          <w:sz w:val="36"/>
          <w:szCs w:val="36"/>
          <w:highlight w:val="yellow"/>
        </w:rPr>
      </w:pPr>
    </w:p>
    <w:p w14:paraId="3A2E45D4">
      <w:pPr>
        <w:pStyle w:val="18"/>
        <w:rPr>
          <w:rFonts w:hint="eastAsia" w:ascii="宋体" w:hAnsi="宋体" w:eastAsia="宋体" w:cs="宋体"/>
          <w:color w:val="auto"/>
          <w:sz w:val="36"/>
          <w:szCs w:val="36"/>
          <w:highlight w:val="yellow"/>
        </w:rPr>
      </w:pPr>
    </w:p>
    <w:p w14:paraId="2D2B0236">
      <w:pPr>
        <w:pStyle w:val="4"/>
        <w:keepNext/>
        <w:keepLines/>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36"/>
          <w:szCs w:val="36"/>
          <w:highlight w:val="none"/>
        </w:rPr>
      </w:pPr>
    </w:p>
    <w:p w14:paraId="5AB464B7">
      <w:pPr>
        <w:pStyle w:val="4"/>
        <w:keepNext/>
        <w:keepLines/>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36"/>
          <w:szCs w:val="36"/>
          <w:highlight w:val="none"/>
        </w:rPr>
      </w:pPr>
      <w:bookmarkStart w:id="49" w:name="_Toc19534"/>
      <w:r>
        <w:rPr>
          <w:rFonts w:hint="eastAsia" w:ascii="宋体" w:hAnsi="宋体" w:eastAsia="宋体" w:cs="宋体"/>
          <w:color w:val="auto"/>
          <w:sz w:val="36"/>
          <w:szCs w:val="36"/>
          <w:highlight w:val="none"/>
        </w:rPr>
        <w:t xml:space="preserve">第六部分  </w:t>
      </w:r>
      <w:bookmarkEnd w:id="13"/>
      <w:r>
        <w:rPr>
          <w:rFonts w:hint="eastAsia" w:ascii="宋体" w:hAnsi="宋体" w:eastAsia="宋体" w:cs="宋体"/>
          <w:color w:val="auto"/>
          <w:sz w:val="36"/>
          <w:szCs w:val="36"/>
          <w:highlight w:val="none"/>
        </w:rPr>
        <w:t>投标文件格式</w:t>
      </w:r>
      <w:bookmarkEnd w:id="49"/>
    </w:p>
    <w:p w14:paraId="1DB6FB1C">
      <w:pPr>
        <w:spacing w:line="440" w:lineRule="exact"/>
        <w:rPr>
          <w:rFonts w:hint="eastAsia" w:ascii="宋体" w:hAnsi="宋体" w:eastAsia="宋体" w:cs="宋体"/>
          <w:color w:val="auto"/>
          <w:highlight w:val="none"/>
        </w:rPr>
      </w:pPr>
    </w:p>
    <w:p w14:paraId="164540C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5D80BBF">
      <w:pPr>
        <w:pStyle w:val="64"/>
        <w:rPr>
          <w:rFonts w:hint="eastAsia" w:ascii="宋体" w:hAnsi="宋体" w:eastAsia="宋体" w:cs="宋体"/>
          <w:color w:val="auto"/>
          <w:highlight w:val="none"/>
        </w:rPr>
      </w:pPr>
    </w:p>
    <w:p w14:paraId="7F094BF5">
      <w:pPr>
        <w:spacing w:line="440" w:lineRule="exact"/>
        <w:rPr>
          <w:rFonts w:hint="eastAsia" w:ascii="宋体" w:hAnsi="宋体" w:eastAsia="宋体" w:cs="宋体"/>
          <w:color w:val="auto"/>
          <w:highlight w:val="none"/>
        </w:rPr>
      </w:pPr>
    </w:p>
    <w:p w14:paraId="7F8309DE">
      <w:pPr>
        <w:pStyle w:val="64"/>
        <w:jc w:val="right"/>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eastAsia="zh-CN"/>
        </w:rPr>
        <w:t>正</w:t>
      </w:r>
      <w:r>
        <w:rPr>
          <w:rFonts w:hint="eastAsia" w:ascii="宋体" w:hAnsi="宋体" w:eastAsia="宋体" w:cs="宋体"/>
          <w:b/>
          <w:bCs/>
          <w:color w:val="auto"/>
          <w:sz w:val="36"/>
          <w:szCs w:val="36"/>
          <w:highlight w:val="none"/>
          <w:lang w:val="en-US" w:eastAsia="zh-CN"/>
        </w:rPr>
        <w:t>/副本</w:t>
      </w:r>
    </w:p>
    <w:p w14:paraId="54C16552">
      <w:pPr>
        <w:pStyle w:val="64"/>
        <w:rPr>
          <w:rFonts w:hint="eastAsia" w:ascii="宋体" w:hAnsi="宋体" w:eastAsia="宋体" w:cs="宋体"/>
          <w:color w:val="auto"/>
          <w:highlight w:val="none"/>
        </w:rPr>
      </w:pPr>
    </w:p>
    <w:p w14:paraId="221E955A">
      <w:pPr>
        <w:pStyle w:val="64"/>
        <w:rPr>
          <w:rFonts w:hint="eastAsia" w:ascii="宋体" w:hAnsi="宋体" w:eastAsia="宋体" w:cs="宋体"/>
          <w:color w:val="auto"/>
          <w:highlight w:val="none"/>
        </w:rPr>
      </w:pPr>
    </w:p>
    <w:p w14:paraId="721C0493">
      <w:pPr>
        <w:spacing w:line="440" w:lineRule="exact"/>
        <w:rPr>
          <w:rFonts w:hint="eastAsia" w:ascii="宋体" w:hAnsi="宋体" w:eastAsia="宋体" w:cs="宋体"/>
          <w:color w:val="auto"/>
          <w:highlight w:val="none"/>
        </w:rPr>
      </w:pPr>
    </w:p>
    <w:p w14:paraId="79CEAA5D">
      <w:pPr>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（项目名称）</w:t>
      </w:r>
    </w:p>
    <w:p w14:paraId="4BAB041B">
      <w:pPr>
        <w:jc w:val="center"/>
        <w:rPr>
          <w:rFonts w:hint="eastAsia" w:ascii="宋体" w:hAnsi="宋体" w:eastAsia="宋体" w:cs="宋体"/>
          <w:color w:val="auto"/>
          <w:highlight w:val="none"/>
        </w:rPr>
      </w:pPr>
    </w:p>
    <w:p w14:paraId="1BE5C4CB">
      <w:pPr>
        <w:rPr>
          <w:rFonts w:hint="eastAsia" w:ascii="宋体" w:hAnsi="宋体" w:eastAsia="宋体" w:cs="宋体"/>
          <w:color w:val="auto"/>
          <w:highlight w:val="none"/>
        </w:rPr>
      </w:pPr>
    </w:p>
    <w:p w14:paraId="532442AB">
      <w:pPr>
        <w:pStyle w:val="64"/>
        <w:rPr>
          <w:rFonts w:hint="eastAsia" w:ascii="宋体" w:hAnsi="宋体" w:eastAsia="宋体" w:cs="宋体"/>
          <w:color w:val="auto"/>
          <w:highlight w:val="none"/>
        </w:rPr>
      </w:pPr>
    </w:p>
    <w:p w14:paraId="23C2E55C">
      <w:pPr>
        <w:jc w:val="center"/>
        <w:rPr>
          <w:rFonts w:hint="eastAsia" w:ascii="宋体" w:hAnsi="宋体" w:eastAsia="宋体" w:cs="宋体"/>
          <w:color w:val="auto"/>
          <w:sz w:val="144"/>
          <w:szCs w:val="144"/>
          <w:highlight w:val="none"/>
        </w:rPr>
      </w:pPr>
      <w:r>
        <w:rPr>
          <w:rFonts w:hint="eastAsia" w:ascii="宋体" w:hAnsi="宋体" w:eastAsia="宋体" w:cs="宋体"/>
          <w:color w:val="auto"/>
          <w:sz w:val="144"/>
          <w:szCs w:val="144"/>
          <w:highlight w:val="none"/>
        </w:rPr>
        <w:t>投标文件</w:t>
      </w:r>
    </w:p>
    <w:p w14:paraId="66C78760">
      <w:pPr>
        <w:jc w:val="center"/>
        <w:rPr>
          <w:rFonts w:hint="eastAsia" w:ascii="宋体" w:hAnsi="宋体" w:eastAsia="宋体" w:cs="宋体"/>
          <w:color w:val="auto"/>
          <w:sz w:val="28"/>
          <w:szCs w:val="28"/>
          <w:highlight w:val="none"/>
        </w:rPr>
      </w:pPr>
    </w:p>
    <w:p w14:paraId="750A4790">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项目</w:t>
      </w:r>
      <w:r>
        <w:rPr>
          <w:rFonts w:hint="eastAsia" w:ascii="宋体" w:hAnsi="宋体" w:eastAsia="宋体" w:cs="宋体"/>
          <w:color w:val="auto"/>
          <w:sz w:val="28"/>
          <w:szCs w:val="28"/>
          <w:highlight w:val="none"/>
        </w:rPr>
        <w:t>编号：</w:t>
      </w:r>
    </w:p>
    <w:p w14:paraId="1B59EA28">
      <w:pPr>
        <w:rPr>
          <w:rFonts w:hint="eastAsia" w:ascii="宋体" w:hAnsi="宋体" w:eastAsia="宋体" w:cs="宋体"/>
          <w:color w:val="auto"/>
          <w:sz w:val="28"/>
          <w:szCs w:val="28"/>
          <w:highlight w:val="none"/>
        </w:rPr>
      </w:pPr>
    </w:p>
    <w:p w14:paraId="7A39F7C1">
      <w:pPr>
        <w:rPr>
          <w:rFonts w:hint="eastAsia" w:ascii="宋体" w:hAnsi="宋体" w:eastAsia="宋体" w:cs="宋体"/>
          <w:color w:val="auto"/>
          <w:sz w:val="28"/>
          <w:szCs w:val="28"/>
          <w:highlight w:val="none"/>
        </w:rPr>
      </w:pPr>
    </w:p>
    <w:p w14:paraId="7834D3BA">
      <w:pPr>
        <w:rPr>
          <w:rFonts w:hint="eastAsia" w:ascii="宋体" w:hAnsi="宋体" w:eastAsia="宋体" w:cs="宋体"/>
          <w:color w:val="auto"/>
          <w:sz w:val="28"/>
          <w:szCs w:val="28"/>
          <w:highlight w:val="none"/>
        </w:rPr>
      </w:pPr>
    </w:p>
    <w:p w14:paraId="10A14162">
      <w:pPr>
        <w:rPr>
          <w:rFonts w:hint="eastAsia" w:ascii="宋体" w:hAnsi="宋体" w:eastAsia="宋体" w:cs="宋体"/>
          <w:color w:val="auto"/>
          <w:sz w:val="28"/>
          <w:szCs w:val="28"/>
          <w:highlight w:val="none"/>
        </w:rPr>
      </w:pPr>
    </w:p>
    <w:p w14:paraId="41E852EE">
      <w:pPr>
        <w:rPr>
          <w:rFonts w:hint="eastAsia" w:ascii="宋体" w:hAnsi="宋体" w:eastAsia="宋体" w:cs="宋体"/>
          <w:color w:val="auto"/>
          <w:sz w:val="28"/>
          <w:szCs w:val="28"/>
          <w:highlight w:val="none"/>
        </w:rPr>
      </w:pPr>
    </w:p>
    <w:p w14:paraId="215FA4B3">
      <w:pPr>
        <w:rPr>
          <w:rFonts w:hint="eastAsia" w:ascii="宋体" w:hAnsi="宋体" w:eastAsia="宋体" w:cs="宋体"/>
          <w:color w:val="auto"/>
          <w:sz w:val="28"/>
          <w:szCs w:val="28"/>
          <w:highlight w:val="none"/>
        </w:rPr>
      </w:pPr>
    </w:p>
    <w:p w14:paraId="618192F7">
      <w:pPr>
        <w:rPr>
          <w:rFonts w:hint="eastAsia" w:ascii="宋体" w:hAnsi="宋体" w:eastAsia="宋体" w:cs="宋体"/>
          <w:color w:val="auto"/>
          <w:sz w:val="28"/>
          <w:szCs w:val="28"/>
          <w:highlight w:val="none"/>
        </w:rPr>
      </w:pPr>
    </w:p>
    <w:p w14:paraId="14D0017B">
      <w:pPr>
        <w:rPr>
          <w:rFonts w:hint="eastAsia" w:ascii="宋体" w:hAnsi="宋体" w:eastAsia="宋体" w:cs="宋体"/>
          <w:color w:val="auto"/>
          <w:sz w:val="28"/>
          <w:szCs w:val="28"/>
          <w:highlight w:val="none"/>
        </w:rPr>
      </w:pPr>
    </w:p>
    <w:p w14:paraId="1D86D9E3">
      <w:pPr>
        <w:rPr>
          <w:rFonts w:hint="eastAsia" w:ascii="宋体" w:hAnsi="宋体" w:eastAsia="宋体" w:cs="宋体"/>
          <w:color w:val="auto"/>
          <w:sz w:val="28"/>
          <w:szCs w:val="28"/>
          <w:highlight w:val="none"/>
        </w:rPr>
      </w:pPr>
    </w:p>
    <w:p w14:paraId="48C4AFD0">
      <w:pPr>
        <w:rPr>
          <w:rFonts w:hint="eastAsia" w:ascii="宋体" w:hAnsi="宋体" w:eastAsia="宋体" w:cs="宋体"/>
          <w:color w:val="auto"/>
          <w:sz w:val="28"/>
          <w:szCs w:val="28"/>
          <w:highlight w:val="none"/>
        </w:rPr>
      </w:pPr>
    </w:p>
    <w:p w14:paraId="369CB66D">
      <w:pPr>
        <w:spacing w:line="360" w:lineRule="auto"/>
        <w:rPr>
          <w:rFonts w:hint="eastAsia" w:ascii="宋体" w:hAnsi="宋体" w:eastAsia="宋体" w:cs="宋体"/>
          <w:color w:val="auto"/>
          <w:sz w:val="28"/>
          <w:szCs w:val="28"/>
          <w:highlight w:val="none"/>
        </w:rPr>
      </w:pPr>
    </w:p>
    <w:p w14:paraId="2A37D68F">
      <w:pPr>
        <w:keepNext w:val="0"/>
        <w:keepLines w:val="0"/>
        <w:pageBreakBefore w:val="0"/>
        <w:widowControl/>
        <w:kinsoku/>
        <w:wordWrap/>
        <w:overflowPunct/>
        <w:topLinePunct w:val="0"/>
        <w:autoSpaceDE/>
        <w:autoSpaceDN/>
        <w:bidi w:val="0"/>
        <w:adjustRightInd/>
        <w:snapToGrid/>
        <w:spacing w:line="480" w:lineRule="auto"/>
        <w:ind w:firstLine="1120" w:firstLineChars="400"/>
        <w:jc w:val="both"/>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供应商名称：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14:paraId="41FC43EF">
      <w:pPr>
        <w:keepNext w:val="0"/>
        <w:keepLines w:val="0"/>
        <w:pageBreakBefore w:val="0"/>
        <w:widowControl/>
        <w:kinsoku/>
        <w:wordWrap/>
        <w:overflowPunct/>
        <w:topLinePunct w:val="0"/>
        <w:autoSpaceDE/>
        <w:autoSpaceDN/>
        <w:bidi w:val="0"/>
        <w:adjustRightInd/>
        <w:snapToGrid/>
        <w:spacing w:line="480" w:lineRule="auto"/>
        <w:ind w:firstLine="1120" w:firstLineChars="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w:t>
      </w:r>
    </w:p>
    <w:p w14:paraId="72A8E32E">
      <w:pPr>
        <w:keepNext w:val="0"/>
        <w:keepLines w:val="0"/>
        <w:pageBreakBefore w:val="0"/>
        <w:widowControl/>
        <w:kinsoku/>
        <w:wordWrap/>
        <w:overflowPunct/>
        <w:topLinePunct w:val="0"/>
        <w:autoSpaceDE/>
        <w:autoSpaceDN/>
        <w:bidi w:val="0"/>
        <w:adjustRightInd/>
        <w:snapToGrid/>
        <w:spacing w:line="480" w:lineRule="auto"/>
        <w:ind w:firstLine="1120" w:firstLineChars="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none"/>
          <w:lang w:eastAsia="zh-CN"/>
        </w:rPr>
        <w:t>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2CA1F768">
      <w:pPr>
        <w:spacing w:line="360" w:lineRule="auto"/>
        <w:rPr>
          <w:rFonts w:hint="eastAsia" w:ascii="宋体" w:hAnsi="宋体" w:eastAsia="宋体" w:cs="宋体"/>
          <w:color w:val="auto"/>
          <w:sz w:val="32"/>
          <w:highlight w:val="none"/>
        </w:rPr>
      </w:pPr>
      <w:r>
        <w:rPr>
          <w:rFonts w:hint="eastAsia" w:ascii="宋体" w:hAnsi="宋体" w:eastAsia="宋体" w:cs="宋体"/>
          <w:color w:val="auto"/>
          <w:sz w:val="32"/>
          <w:highlight w:val="none"/>
        </w:rPr>
        <w:br w:type="page"/>
      </w:r>
    </w:p>
    <w:bookmarkEnd w:id="14"/>
    <w:p w14:paraId="1B733D34">
      <w:pPr>
        <w:spacing w:line="360" w:lineRule="auto"/>
        <w:jc w:val="center"/>
        <w:rPr>
          <w:rFonts w:hint="eastAsia" w:ascii="宋体" w:hAnsi="宋体" w:eastAsia="宋体" w:cs="宋体"/>
          <w:b/>
          <w:color w:val="auto"/>
          <w:sz w:val="36"/>
          <w:szCs w:val="36"/>
          <w:highlight w:val="none"/>
        </w:rPr>
      </w:pPr>
    </w:p>
    <w:p w14:paraId="5E7C5146">
      <w:pPr>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b/>
          <w:color w:val="auto"/>
          <w:sz w:val="36"/>
          <w:szCs w:val="36"/>
          <w:highlight w:val="none"/>
        </w:rPr>
        <w:t>目  录</w:t>
      </w:r>
    </w:p>
    <w:p w14:paraId="047748C5">
      <w:pPr>
        <w:spacing w:line="360" w:lineRule="auto"/>
        <w:ind w:firstLine="480" w:firstLineChars="200"/>
        <w:jc w:val="both"/>
        <w:rPr>
          <w:rFonts w:hint="eastAsia" w:ascii="宋体" w:hAnsi="宋体" w:eastAsia="宋体" w:cs="宋体"/>
          <w:color w:val="auto"/>
          <w:sz w:val="24"/>
          <w:highlight w:val="none"/>
        </w:rPr>
      </w:pPr>
    </w:p>
    <w:p w14:paraId="595F9559">
      <w:pPr>
        <w:pStyle w:val="95"/>
        <w:keepNext w:val="0"/>
        <w:keepLines w:val="0"/>
        <w:pageBreakBefore w:val="0"/>
        <w:widowControl w:val="0"/>
        <w:numPr>
          <w:ilvl w:val="0"/>
          <w:numId w:val="9"/>
        </w:numPr>
        <w:tabs>
          <w:tab w:val="left" w:pos="567"/>
        </w:tabs>
        <w:kinsoku/>
        <w:wordWrap/>
        <w:overflowPunct/>
        <w:topLinePunct w:val="0"/>
        <w:autoSpaceDE/>
        <w:autoSpaceDN/>
        <w:bidi w:val="0"/>
        <w:adjustRightInd/>
        <w:snapToGrid/>
        <w:spacing w:line="288" w:lineRule="auto"/>
        <w:ind w:lef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投标函</w:t>
      </w:r>
    </w:p>
    <w:p w14:paraId="4F803E90">
      <w:pPr>
        <w:pStyle w:val="95"/>
        <w:keepNext w:val="0"/>
        <w:keepLines w:val="0"/>
        <w:pageBreakBefore w:val="0"/>
        <w:widowControl w:val="0"/>
        <w:numPr>
          <w:ilvl w:val="0"/>
          <w:numId w:val="9"/>
        </w:numPr>
        <w:tabs>
          <w:tab w:val="left" w:pos="567"/>
        </w:tabs>
        <w:kinsoku/>
        <w:wordWrap/>
        <w:overflowPunct/>
        <w:topLinePunct w:val="0"/>
        <w:autoSpaceDE/>
        <w:autoSpaceDN/>
        <w:bidi w:val="0"/>
        <w:adjustRightInd/>
        <w:snapToGrid/>
        <w:spacing w:line="288" w:lineRule="auto"/>
        <w:ind w:lef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开标一览表</w:t>
      </w:r>
    </w:p>
    <w:p w14:paraId="76104B56">
      <w:pPr>
        <w:pStyle w:val="95"/>
        <w:keepNext w:val="0"/>
        <w:keepLines w:val="0"/>
        <w:pageBreakBefore w:val="0"/>
        <w:widowControl w:val="0"/>
        <w:numPr>
          <w:ilvl w:val="0"/>
          <w:numId w:val="9"/>
        </w:numPr>
        <w:tabs>
          <w:tab w:val="left" w:pos="567"/>
        </w:tabs>
        <w:kinsoku/>
        <w:wordWrap/>
        <w:overflowPunct/>
        <w:topLinePunct w:val="0"/>
        <w:autoSpaceDE/>
        <w:autoSpaceDN/>
        <w:bidi w:val="0"/>
        <w:adjustRightInd/>
        <w:snapToGrid/>
        <w:spacing w:line="288" w:lineRule="auto"/>
        <w:ind w:lef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投标报价一览表</w:t>
      </w:r>
    </w:p>
    <w:p w14:paraId="4E418253">
      <w:pPr>
        <w:pStyle w:val="95"/>
        <w:keepNext w:val="0"/>
        <w:keepLines w:val="0"/>
        <w:pageBreakBefore w:val="0"/>
        <w:widowControl w:val="0"/>
        <w:numPr>
          <w:ilvl w:val="0"/>
          <w:numId w:val="9"/>
        </w:numPr>
        <w:tabs>
          <w:tab w:val="left" w:pos="567"/>
        </w:tabs>
        <w:kinsoku/>
        <w:wordWrap/>
        <w:overflowPunct/>
        <w:topLinePunct w:val="0"/>
        <w:autoSpaceDE/>
        <w:autoSpaceDN/>
        <w:bidi w:val="0"/>
        <w:adjustRightInd/>
        <w:snapToGrid/>
        <w:spacing w:line="288" w:lineRule="auto"/>
        <w:ind w:lef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法定代表人身份证明书</w:t>
      </w:r>
    </w:p>
    <w:p w14:paraId="2DA6E97F">
      <w:pPr>
        <w:pStyle w:val="95"/>
        <w:keepNext w:val="0"/>
        <w:keepLines w:val="0"/>
        <w:pageBreakBefore w:val="0"/>
        <w:widowControl w:val="0"/>
        <w:numPr>
          <w:ilvl w:val="0"/>
          <w:numId w:val="9"/>
        </w:numPr>
        <w:tabs>
          <w:tab w:val="left" w:pos="567"/>
        </w:tabs>
        <w:kinsoku/>
        <w:wordWrap/>
        <w:overflowPunct/>
        <w:topLinePunct w:val="0"/>
        <w:autoSpaceDE/>
        <w:autoSpaceDN/>
        <w:bidi w:val="0"/>
        <w:adjustRightInd/>
        <w:snapToGrid/>
        <w:spacing w:line="288" w:lineRule="auto"/>
        <w:ind w:lef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14:paraId="2E74CD79">
      <w:pPr>
        <w:pStyle w:val="95"/>
        <w:keepNext w:val="0"/>
        <w:keepLines w:val="0"/>
        <w:pageBreakBefore w:val="0"/>
        <w:widowControl w:val="0"/>
        <w:numPr>
          <w:ilvl w:val="0"/>
          <w:numId w:val="9"/>
        </w:numPr>
        <w:tabs>
          <w:tab w:val="left" w:pos="567"/>
        </w:tabs>
        <w:kinsoku/>
        <w:wordWrap/>
        <w:overflowPunct/>
        <w:topLinePunct w:val="0"/>
        <w:autoSpaceDE/>
        <w:autoSpaceDN/>
        <w:bidi w:val="0"/>
        <w:adjustRightInd/>
        <w:snapToGrid/>
        <w:spacing w:line="288" w:lineRule="auto"/>
        <w:ind w:lef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供应商基本情况说明</w:t>
      </w:r>
    </w:p>
    <w:p w14:paraId="31C56EC7">
      <w:pPr>
        <w:pStyle w:val="95"/>
        <w:keepNext w:val="0"/>
        <w:keepLines w:val="0"/>
        <w:pageBreakBefore w:val="0"/>
        <w:widowControl w:val="0"/>
        <w:numPr>
          <w:ilvl w:val="0"/>
          <w:numId w:val="9"/>
        </w:numPr>
        <w:tabs>
          <w:tab w:val="left" w:pos="567"/>
        </w:tabs>
        <w:kinsoku/>
        <w:wordWrap/>
        <w:overflowPunct/>
        <w:topLinePunct w:val="0"/>
        <w:autoSpaceDE/>
        <w:autoSpaceDN/>
        <w:bidi w:val="0"/>
        <w:adjustRightInd/>
        <w:snapToGrid/>
        <w:spacing w:line="288" w:lineRule="auto"/>
        <w:ind w:lef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承诺书</w:t>
      </w:r>
    </w:p>
    <w:p w14:paraId="45A342DB">
      <w:pPr>
        <w:pStyle w:val="95"/>
        <w:keepNext w:val="0"/>
        <w:keepLines w:val="0"/>
        <w:pageBreakBefore w:val="0"/>
        <w:widowControl w:val="0"/>
        <w:numPr>
          <w:ilvl w:val="0"/>
          <w:numId w:val="9"/>
        </w:numPr>
        <w:tabs>
          <w:tab w:val="left" w:pos="567"/>
        </w:tabs>
        <w:kinsoku/>
        <w:wordWrap/>
        <w:overflowPunct/>
        <w:topLinePunct w:val="0"/>
        <w:autoSpaceDE/>
        <w:autoSpaceDN/>
        <w:bidi w:val="0"/>
        <w:adjustRightInd/>
        <w:snapToGrid/>
        <w:spacing w:line="288" w:lineRule="auto"/>
        <w:ind w:lef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同类</w:t>
      </w:r>
      <w:r>
        <w:rPr>
          <w:rFonts w:hint="eastAsia" w:ascii="宋体" w:hAnsi="宋体" w:eastAsia="宋体" w:cs="宋体"/>
          <w:color w:val="auto"/>
          <w:sz w:val="24"/>
          <w:szCs w:val="24"/>
          <w:highlight w:val="none"/>
        </w:rPr>
        <w:t>业绩表</w:t>
      </w:r>
    </w:p>
    <w:p w14:paraId="67874483">
      <w:pPr>
        <w:pStyle w:val="95"/>
        <w:keepNext w:val="0"/>
        <w:keepLines w:val="0"/>
        <w:pageBreakBefore w:val="0"/>
        <w:widowControl w:val="0"/>
        <w:numPr>
          <w:ilvl w:val="0"/>
          <w:numId w:val="9"/>
        </w:numPr>
        <w:tabs>
          <w:tab w:val="left" w:pos="567"/>
        </w:tabs>
        <w:kinsoku/>
        <w:wordWrap/>
        <w:overflowPunct/>
        <w:topLinePunct w:val="0"/>
        <w:autoSpaceDE/>
        <w:autoSpaceDN/>
        <w:bidi w:val="0"/>
        <w:adjustRightInd/>
        <w:snapToGrid/>
        <w:spacing w:line="288" w:lineRule="auto"/>
        <w:ind w:lef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技术参数偏离表</w:t>
      </w:r>
    </w:p>
    <w:p w14:paraId="59B1E54C">
      <w:pPr>
        <w:pStyle w:val="95"/>
        <w:keepNext w:val="0"/>
        <w:keepLines w:val="0"/>
        <w:pageBreakBefore w:val="0"/>
        <w:widowControl w:val="0"/>
        <w:numPr>
          <w:ilvl w:val="0"/>
          <w:numId w:val="9"/>
        </w:numPr>
        <w:tabs>
          <w:tab w:val="left" w:pos="567"/>
        </w:tabs>
        <w:kinsoku/>
        <w:wordWrap/>
        <w:overflowPunct/>
        <w:topLinePunct w:val="0"/>
        <w:autoSpaceDE/>
        <w:autoSpaceDN/>
        <w:bidi w:val="0"/>
        <w:adjustRightInd/>
        <w:snapToGrid/>
        <w:spacing w:line="288" w:lineRule="auto"/>
        <w:ind w:lef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技术参数承诺书</w:t>
      </w:r>
    </w:p>
    <w:p w14:paraId="295CC8BE">
      <w:pPr>
        <w:pStyle w:val="95"/>
        <w:keepNext w:val="0"/>
        <w:keepLines w:val="0"/>
        <w:pageBreakBefore w:val="0"/>
        <w:widowControl w:val="0"/>
        <w:numPr>
          <w:ilvl w:val="0"/>
          <w:numId w:val="9"/>
        </w:numPr>
        <w:tabs>
          <w:tab w:val="left" w:pos="567"/>
        </w:tabs>
        <w:kinsoku/>
        <w:wordWrap/>
        <w:overflowPunct/>
        <w:topLinePunct w:val="0"/>
        <w:autoSpaceDE/>
        <w:autoSpaceDN/>
        <w:bidi w:val="0"/>
        <w:adjustRightInd/>
        <w:snapToGrid/>
        <w:spacing w:line="288" w:lineRule="auto"/>
        <w:ind w:lef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商务条款偏离表</w:t>
      </w:r>
    </w:p>
    <w:p w14:paraId="7871C771">
      <w:pPr>
        <w:pStyle w:val="95"/>
        <w:keepNext w:val="0"/>
        <w:keepLines w:val="0"/>
        <w:pageBreakBefore w:val="0"/>
        <w:widowControl w:val="0"/>
        <w:numPr>
          <w:ilvl w:val="0"/>
          <w:numId w:val="9"/>
        </w:numPr>
        <w:tabs>
          <w:tab w:val="left" w:pos="567"/>
        </w:tabs>
        <w:kinsoku/>
        <w:wordWrap/>
        <w:overflowPunct/>
        <w:topLinePunct w:val="0"/>
        <w:autoSpaceDE/>
        <w:autoSpaceDN/>
        <w:bidi w:val="0"/>
        <w:adjustRightInd/>
        <w:snapToGrid/>
        <w:spacing w:line="288" w:lineRule="auto"/>
        <w:ind w:lef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方案（供应商自行编写）</w:t>
      </w:r>
    </w:p>
    <w:p w14:paraId="74606867">
      <w:pPr>
        <w:pStyle w:val="95"/>
        <w:keepNext w:val="0"/>
        <w:keepLines w:val="0"/>
        <w:pageBreakBefore w:val="0"/>
        <w:widowControl w:val="0"/>
        <w:numPr>
          <w:ilvl w:val="0"/>
          <w:numId w:val="9"/>
        </w:numPr>
        <w:tabs>
          <w:tab w:val="left" w:pos="567"/>
        </w:tabs>
        <w:kinsoku/>
        <w:wordWrap/>
        <w:overflowPunct/>
        <w:topLinePunct w:val="0"/>
        <w:autoSpaceDE/>
        <w:autoSpaceDN/>
        <w:bidi w:val="0"/>
        <w:adjustRightInd/>
        <w:snapToGrid/>
        <w:spacing w:line="288" w:lineRule="auto"/>
        <w:ind w:lef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r>
        <w:rPr>
          <w:rFonts w:hint="eastAsia" w:ascii="宋体" w:hAnsi="宋体" w:cs="宋体"/>
          <w:color w:val="auto"/>
          <w:sz w:val="24"/>
          <w:szCs w:val="24"/>
          <w:highlight w:val="none"/>
          <w:lang w:eastAsia="zh-CN"/>
        </w:rPr>
        <w:t>）</w:t>
      </w:r>
    </w:p>
    <w:p w14:paraId="6DAEA7B9">
      <w:pPr>
        <w:pStyle w:val="95"/>
        <w:keepNext w:val="0"/>
        <w:keepLines w:val="0"/>
        <w:pageBreakBefore w:val="0"/>
        <w:widowControl w:val="0"/>
        <w:numPr>
          <w:ilvl w:val="0"/>
          <w:numId w:val="9"/>
        </w:numPr>
        <w:tabs>
          <w:tab w:val="left" w:pos="567"/>
        </w:tabs>
        <w:kinsoku/>
        <w:wordWrap/>
        <w:overflowPunct/>
        <w:topLinePunct w:val="0"/>
        <w:autoSpaceDE/>
        <w:autoSpaceDN/>
        <w:bidi w:val="0"/>
        <w:adjustRightInd/>
        <w:snapToGrid/>
        <w:spacing w:line="288" w:lineRule="auto"/>
        <w:ind w:left="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供应商认为有必要提供的其他材料</w:t>
      </w:r>
    </w:p>
    <w:p w14:paraId="7B0202BD">
      <w:pPr>
        <w:pStyle w:val="95"/>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288" w:lineRule="auto"/>
        <w:ind w:leftChars="200"/>
        <w:textAlignment w:val="auto"/>
        <w:rPr>
          <w:rFonts w:hint="eastAsia" w:ascii="宋体" w:hAnsi="宋体" w:eastAsia="宋体" w:cs="宋体"/>
          <w:color w:val="auto"/>
          <w:sz w:val="24"/>
          <w:szCs w:val="24"/>
          <w:highlight w:val="none"/>
        </w:rPr>
      </w:pPr>
    </w:p>
    <w:p w14:paraId="4094B511">
      <w:pPr>
        <w:pStyle w:val="95"/>
        <w:keepNext w:val="0"/>
        <w:keepLines w:val="0"/>
        <w:pageBreakBefore w:val="0"/>
        <w:widowControl w:val="0"/>
        <w:numPr>
          <w:ilvl w:val="0"/>
          <w:numId w:val="9"/>
        </w:numPr>
        <w:tabs>
          <w:tab w:val="left" w:pos="567"/>
        </w:tabs>
        <w:kinsoku/>
        <w:wordWrap/>
        <w:overflowPunct/>
        <w:topLinePunct w:val="0"/>
        <w:autoSpaceDE/>
        <w:autoSpaceDN/>
        <w:bidi w:val="0"/>
        <w:adjustRightInd/>
        <w:snapToGrid/>
        <w:spacing w:line="288" w:lineRule="auto"/>
        <w:ind w:left="0"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br w:type="page"/>
      </w:r>
    </w:p>
    <w:p w14:paraId="7F2BDE2D">
      <w:pPr>
        <w:spacing w:line="360" w:lineRule="auto"/>
        <w:jc w:val="center"/>
        <w:rPr>
          <w:rFonts w:hint="eastAsia" w:ascii="宋体" w:hAnsi="宋体" w:eastAsia="宋体" w:cs="宋体"/>
          <w:b/>
          <w:color w:val="auto"/>
          <w:sz w:val="36"/>
          <w:szCs w:val="36"/>
          <w:highlight w:val="none"/>
          <w:lang w:val="zh-CN"/>
        </w:rPr>
      </w:pPr>
    </w:p>
    <w:p w14:paraId="41201317">
      <w:pPr>
        <w:spacing w:line="360" w:lineRule="auto"/>
        <w:jc w:val="center"/>
        <w:rPr>
          <w:rFonts w:hint="eastAsia" w:ascii="宋体" w:hAnsi="宋体" w:eastAsia="宋体" w:cs="宋体"/>
          <w:b/>
          <w:color w:val="auto"/>
          <w:sz w:val="36"/>
          <w:szCs w:val="36"/>
          <w:highlight w:val="none"/>
        </w:rPr>
      </w:pPr>
      <w:r>
        <w:rPr>
          <w:rFonts w:hint="eastAsia" w:ascii="宋体" w:hAnsi="宋体" w:cs="宋体"/>
          <w:b/>
          <w:color w:val="auto"/>
          <w:sz w:val="36"/>
          <w:szCs w:val="36"/>
          <w:highlight w:val="none"/>
          <w:lang w:val="en-US" w:eastAsia="zh-CN"/>
        </w:rPr>
        <w:t>一</w:t>
      </w:r>
      <w:r>
        <w:rPr>
          <w:rFonts w:hint="eastAsia" w:ascii="宋体" w:hAnsi="宋体" w:eastAsia="宋体" w:cs="宋体"/>
          <w:b/>
          <w:color w:val="auto"/>
          <w:sz w:val="36"/>
          <w:szCs w:val="36"/>
          <w:highlight w:val="none"/>
        </w:rPr>
        <w:t>、投标函</w:t>
      </w:r>
    </w:p>
    <w:p w14:paraId="5A51D251">
      <w:pPr>
        <w:keepNext w:val="0"/>
        <w:keepLines w:val="0"/>
        <w:pageBreakBefore w:val="0"/>
        <w:kinsoku/>
        <w:wordWrap/>
        <w:overflowPunct/>
        <w:topLinePunct w:val="0"/>
        <w:bidi w:val="0"/>
        <w:snapToGrid/>
        <w:spacing w:before="120" w:beforeLines="50" w:after="120" w:afterLines="50"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致：</w:t>
      </w:r>
      <w:r>
        <w:rPr>
          <w:rFonts w:hint="eastAsia" w:ascii="宋体" w:hAnsi="宋体" w:eastAsia="宋体" w:cs="宋体"/>
          <w:b/>
          <w:color w:val="auto"/>
          <w:sz w:val="24"/>
          <w:szCs w:val="24"/>
          <w:highlight w:val="none"/>
          <w:u w:val="single"/>
        </w:rPr>
        <w:t>(采购代理机构名称)</w:t>
      </w:r>
    </w:p>
    <w:p w14:paraId="31B45FEE">
      <w:pPr>
        <w:keepNext w:val="0"/>
        <w:keepLines w:val="0"/>
        <w:pageBreakBefore w:val="0"/>
        <w:kinsoku/>
        <w:wordWrap/>
        <w:overflowPunct/>
        <w:topLinePunct w:val="0"/>
        <w:autoSpaceDE w:val="0"/>
        <w:autoSpaceDN w:val="0"/>
        <w:bidi w:val="0"/>
        <w:adjustRightInd w:val="0"/>
        <w:snapToGrid/>
        <w:spacing w:line="288" w:lineRule="auto"/>
        <w:ind w:right="26"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依据贵方</w:t>
      </w:r>
      <w:r>
        <w:rPr>
          <w:rFonts w:hint="eastAsia" w:ascii="宋体" w:hAnsi="宋体" w:eastAsia="宋体" w:cs="宋体"/>
          <w:b/>
          <w:bCs/>
          <w:color w:val="auto"/>
          <w:sz w:val="24"/>
          <w:szCs w:val="24"/>
          <w:highlight w:val="none"/>
          <w:u w:val="single"/>
        </w:rPr>
        <w:t>项目名称</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w:t>
      </w:r>
      <w:r>
        <w:rPr>
          <w:rFonts w:hint="eastAsia" w:ascii="宋体" w:hAnsi="宋体" w:eastAsia="宋体" w:cs="宋体"/>
          <w:b/>
          <w:bCs/>
          <w:color w:val="auto"/>
          <w:sz w:val="24"/>
          <w:szCs w:val="24"/>
          <w:highlight w:val="none"/>
          <w:u w:val="single"/>
        </w:rPr>
        <w:t>项目编号：</w:t>
      </w:r>
      <w:r>
        <w:rPr>
          <w:rFonts w:hint="eastAsia" w:ascii="宋体" w:hAnsi="宋体" w:eastAsia="宋体" w:cs="宋体"/>
          <w:bCs/>
          <w:color w:val="auto"/>
          <w:sz w:val="24"/>
          <w:szCs w:val="24"/>
          <w:highlight w:val="none"/>
          <w:u w:val="single"/>
        </w:rPr>
        <w:t xml:space="preserve">        ) </w:t>
      </w:r>
      <w:r>
        <w:rPr>
          <w:rFonts w:hint="eastAsia" w:ascii="宋体" w:hAnsi="宋体" w:eastAsia="宋体" w:cs="宋体"/>
          <w:bCs/>
          <w:color w:val="auto"/>
          <w:sz w:val="24"/>
          <w:szCs w:val="24"/>
          <w:highlight w:val="none"/>
        </w:rPr>
        <w:t>招标货物及服务的投标，我方代表</w:t>
      </w:r>
      <w:r>
        <w:rPr>
          <w:rFonts w:hint="eastAsia" w:ascii="宋体" w:hAnsi="宋体" w:eastAsia="宋体" w:cs="宋体"/>
          <w:b/>
          <w:bCs/>
          <w:color w:val="auto"/>
          <w:sz w:val="24"/>
          <w:szCs w:val="24"/>
          <w:highlight w:val="none"/>
          <w:u w:val="single"/>
        </w:rPr>
        <w:t>（姓名、职务）</w:t>
      </w:r>
      <w:r>
        <w:rPr>
          <w:rFonts w:hint="eastAsia" w:ascii="宋体" w:hAnsi="宋体" w:eastAsia="宋体" w:cs="宋体"/>
          <w:bCs/>
          <w:color w:val="auto"/>
          <w:sz w:val="24"/>
          <w:szCs w:val="24"/>
          <w:highlight w:val="none"/>
        </w:rPr>
        <w:t>经正式授权并代表</w:t>
      </w:r>
      <w:r>
        <w:rPr>
          <w:rFonts w:hint="eastAsia" w:ascii="宋体" w:hAnsi="宋体" w:eastAsia="宋体" w:cs="宋体"/>
          <w:b/>
          <w:bCs/>
          <w:color w:val="auto"/>
          <w:sz w:val="24"/>
          <w:szCs w:val="24"/>
          <w:highlight w:val="none"/>
          <w:u w:val="single"/>
        </w:rPr>
        <w:t>（供应商名称）</w:t>
      </w:r>
      <w:r>
        <w:rPr>
          <w:rFonts w:hint="eastAsia" w:ascii="宋体" w:hAnsi="宋体" w:eastAsia="宋体" w:cs="宋体"/>
          <w:bCs/>
          <w:color w:val="auto"/>
          <w:sz w:val="24"/>
          <w:szCs w:val="24"/>
          <w:highlight w:val="none"/>
        </w:rPr>
        <w:t>提交开标一览表一份、投标文件正本一份，副本</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Cs/>
          <w:color w:val="auto"/>
          <w:sz w:val="24"/>
          <w:szCs w:val="24"/>
          <w:highlight w:val="none"/>
        </w:rPr>
        <w:t>份。</w:t>
      </w:r>
    </w:p>
    <w:p w14:paraId="234A3653">
      <w:pPr>
        <w:keepNext w:val="0"/>
        <w:keepLines w:val="0"/>
        <w:pageBreakBefore w:val="0"/>
        <w:kinsoku/>
        <w:wordWrap/>
        <w:overflowPunct/>
        <w:topLinePunct w:val="0"/>
        <w:autoSpaceDE w:val="0"/>
        <w:autoSpaceDN w:val="0"/>
        <w:bidi w:val="0"/>
        <w:adjustRightInd w:val="0"/>
        <w:snapToGrid/>
        <w:spacing w:line="288" w:lineRule="auto"/>
        <w:ind w:right="24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在此，我方声明如下：</w:t>
      </w:r>
    </w:p>
    <w:p w14:paraId="4B5E05E5">
      <w:pPr>
        <w:pStyle w:val="95"/>
        <w:keepNext w:val="0"/>
        <w:keepLines w:val="0"/>
        <w:pageBreakBefore w:val="0"/>
        <w:numPr>
          <w:ilvl w:val="0"/>
          <w:numId w:val="10"/>
        </w:numPr>
        <w:kinsoku/>
        <w:wordWrap/>
        <w:overflowPunct/>
        <w:topLinePunct w:val="0"/>
        <w:bidi w:val="0"/>
        <w:snapToGrid/>
        <w:spacing w:line="288"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同意并接受招标文件的各项要求，遵守招标文件中的各项规定，按招标文件的要求提供报价</w:t>
      </w:r>
      <w:r>
        <w:rPr>
          <w:rFonts w:hint="eastAsia" w:ascii="宋体" w:hAnsi="宋体" w:cs="宋体"/>
          <w:color w:val="auto"/>
          <w:spacing w:val="-6"/>
          <w:sz w:val="24"/>
          <w:szCs w:val="24"/>
          <w:highlight w:val="none"/>
          <w:lang w:eastAsia="zh-CN"/>
        </w:rPr>
        <w:t>，投标报价为</w:t>
      </w:r>
      <w:r>
        <w:rPr>
          <w:rFonts w:hint="eastAsia" w:ascii="宋体" w:hAnsi="宋体" w:cs="宋体"/>
          <w:color w:val="auto"/>
          <w:spacing w:val="-6"/>
          <w:sz w:val="24"/>
          <w:szCs w:val="24"/>
          <w:highlight w:val="none"/>
          <w:u w:val="single"/>
          <w:lang w:eastAsia="zh-CN"/>
        </w:rPr>
        <w:t xml:space="preserve">      </w:t>
      </w:r>
      <w:r>
        <w:rPr>
          <w:rFonts w:hint="eastAsia" w:ascii="宋体" w:hAnsi="宋体" w:cs="宋体"/>
          <w:color w:val="auto"/>
          <w:spacing w:val="-6"/>
          <w:sz w:val="24"/>
          <w:szCs w:val="24"/>
          <w:highlight w:val="none"/>
          <w:lang w:eastAsia="zh-CN"/>
        </w:rPr>
        <w:t>元</w:t>
      </w:r>
      <w:r>
        <w:rPr>
          <w:rFonts w:hint="eastAsia" w:ascii="宋体" w:hAnsi="宋体" w:eastAsia="宋体" w:cs="宋体"/>
          <w:color w:val="auto"/>
          <w:sz w:val="24"/>
          <w:szCs w:val="24"/>
          <w:highlight w:val="none"/>
        </w:rPr>
        <w:t>。</w:t>
      </w:r>
    </w:p>
    <w:p w14:paraId="7CFF4ACD">
      <w:pPr>
        <w:pStyle w:val="95"/>
        <w:keepNext w:val="0"/>
        <w:keepLines w:val="0"/>
        <w:pageBreakBefore w:val="0"/>
        <w:numPr>
          <w:ilvl w:val="0"/>
          <w:numId w:val="10"/>
        </w:numPr>
        <w:kinsoku/>
        <w:wordWrap/>
        <w:overflowPunct/>
        <w:topLinePunct w:val="0"/>
        <w:bidi w:val="0"/>
        <w:snapToGrid/>
        <w:spacing w:line="288"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投标有效期为递交投标文件截止日后</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天，中标人投标有效期延至合同验收之日。</w:t>
      </w:r>
    </w:p>
    <w:p w14:paraId="21132A92">
      <w:pPr>
        <w:pStyle w:val="95"/>
        <w:keepNext w:val="0"/>
        <w:keepLines w:val="0"/>
        <w:pageBreakBefore w:val="0"/>
        <w:numPr>
          <w:ilvl w:val="0"/>
          <w:numId w:val="10"/>
        </w:numPr>
        <w:kinsoku/>
        <w:wordWrap/>
        <w:overflowPunct/>
        <w:topLinePunct w:val="0"/>
        <w:bidi w:val="0"/>
        <w:snapToGrid/>
        <w:spacing w:line="288"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我方已经详细地阅读了全部招标文件及其附件，包括澄清及参考文件(如果有的话)。我方已完全清晰理解招标文件的要求，不存在任何含糊不清和误解之处，同意放弃对这些文件所提出的异议和质疑的权利。</w:t>
      </w:r>
    </w:p>
    <w:p w14:paraId="78711590">
      <w:pPr>
        <w:pStyle w:val="95"/>
        <w:keepNext w:val="0"/>
        <w:keepLines w:val="0"/>
        <w:pageBreakBefore w:val="0"/>
        <w:numPr>
          <w:ilvl w:val="0"/>
          <w:numId w:val="10"/>
        </w:numPr>
        <w:kinsoku/>
        <w:wordWrap/>
        <w:overflowPunct/>
        <w:topLinePunct w:val="0"/>
        <w:bidi w:val="0"/>
        <w:snapToGrid/>
        <w:spacing w:line="288"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我方已毫无保留地向贵方提供一切所需的证明材料。</w:t>
      </w:r>
    </w:p>
    <w:p w14:paraId="6E9034AD">
      <w:pPr>
        <w:pStyle w:val="95"/>
        <w:keepNext w:val="0"/>
        <w:keepLines w:val="0"/>
        <w:pageBreakBefore w:val="0"/>
        <w:numPr>
          <w:ilvl w:val="0"/>
          <w:numId w:val="10"/>
        </w:numPr>
        <w:kinsoku/>
        <w:wordWrap/>
        <w:overflowPunct/>
        <w:topLinePunct w:val="0"/>
        <w:bidi w:val="0"/>
        <w:snapToGrid/>
        <w:spacing w:line="288"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我方承诺在本次投标文件中提供的一切文件，无论是原件还是复印件均为真实和准确的，绝无任何虚假、伪造和夸大的成份，否则，愿承担相应的后果和法律责任。</w:t>
      </w:r>
    </w:p>
    <w:p w14:paraId="2D02FAE4">
      <w:pPr>
        <w:pStyle w:val="95"/>
        <w:keepNext w:val="0"/>
        <w:keepLines w:val="0"/>
        <w:pageBreakBefore w:val="0"/>
        <w:numPr>
          <w:ilvl w:val="0"/>
          <w:numId w:val="10"/>
        </w:numPr>
        <w:kinsoku/>
        <w:wordWrap/>
        <w:overflowPunct/>
        <w:topLinePunct w:val="0"/>
        <w:bidi w:val="0"/>
        <w:snapToGrid/>
        <w:spacing w:line="288"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我方完全服从和尊重评委会所作的评定结果，同时清楚理解到报价最低并非意味着必定获得中标资格。</w:t>
      </w:r>
    </w:p>
    <w:p w14:paraId="77D11884">
      <w:pPr>
        <w:pStyle w:val="95"/>
        <w:keepNext w:val="0"/>
        <w:keepLines w:val="0"/>
        <w:pageBreakBefore w:val="0"/>
        <w:numPr>
          <w:ilvl w:val="0"/>
          <w:numId w:val="10"/>
        </w:numPr>
        <w:kinsoku/>
        <w:wordWrap/>
        <w:overflowPunct/>
        <w:topLinePunct w:val="0"/>
        <w:bidi w:val="0"/>
        <w:snapToGrid/>
        <w:spacing w:line="288"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我方同意按招标文件规定向采购代理机构缴纳中标服务费。</w:t>
      </w:r>
    </w:p>
    <w:p w14:paraId="5C513212">
      <w:pPr>
        <w:pStyle w:val="95"/>
        <w:keepNext w:val="0"/>
        <w:keepLines w:val="0"/>
        <w:pageBreakBefore w:val="0"/>
        <w:kinsoku/>
        <w:wordWrap/>
        <w:overflowPunct/>
        <w:topLinePunct w:val="0"/>
        <w:bidi w:val="0"/>
        <w:snapToGrid/>
        <w:spacing w:line="288" w:lineRule="auto"/>
        <w:ind w:left="420" w:firstLine="0" w:firstLineChars="0"/>
        <w:textAlignment w:val="auto"/>
        <w:rPr>
          <w:rFonts w:hint="eastAsia" w:ascii="宋体" w:hAnsi="宋体" w:eastAsia="宋体" w:cs="宋体"/>
          <w:color w:val="auto"/>
          <w:sz w:val="24"/>
          <w:szCs w:val="24"/>
          <w:highlight w:val="yellow"/>
        </w:rPr>
      </w:pPr>
    </w:p>
    <w:tbl>
      <w:tblPr>
        <w:tblStyle w:val="45"/>
        <w:tblW w:w="8528" w:type="dxa"/>
        <w:jc w:val="center"/>
        <w:tblLayout w:type="fixed"/>
        <w:tblCellMar>
          <w:top w:w="0" w:type="dxa"/>
          <w:left w:w="108" w:type="dxa"/>
          <w:bottom w:w="0" w:type="dxa"/>
          <w:right w:w="108" w:type="dxa"/>
        </w:tblCellMar>
      </w:tblPr>
      <w:tblGrid>
        <w:gridCol w:w="4264"/>
        <w:gridCol w:w="4264"/>
      </w:tblGrid>
      <w:tr w14:paraId="6BFC7C1C">
        <w:tblPrEx>
          <w:tblCellMar>
            <w:top w:w="0" w:type="dxa"/>
            <w:left w:w="108" w:type="dxa"/>
            <w:bottom w:w="0" w:type="dxa"/>
            <w:right w:w="108" w:type="dxa"/>
          </w:tblCellMar>
        </w:tblPrEx>
        <w:trPr>
          <w:jc w:val="center"/>
        </w:trPr>
        <w:tc>
          <w:tcPr>
            <w:tcW w:w="4264" w:type="dxa"/>
            <w:shd w:val="clear" w:color="auto" w:fill="auto"/>
          </w:tcPr>
          <w:p w14:paraId="2FCD3186">
            <w:pPr>
              <w:keepNext w:val="0"/>
              <w:keepLines w:val="0"/>
              <w:pageBreakBefore w:val="0"/>
              <w:kinsoku/>
              <w:wordWrap/>
              <w:overflowPunct/>
              <w:topLinePunct w:val="0"/>
              <w:bidi w:val="0"/>
              <w:snapToGrid/>
              <w:spacing w:before="120" w:beforeLines="50"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供应商地址：</w:t>
            </w:r>
          </w:p>
        </w:tc>
        <w:tc>
          <w:tcPr>
            <w:tcW w:w="4264" w:type="dxa"/>
            <w:shd w:val="clear" w:color="auto" w:fill="auto"/>
          </w:tcPr>
          <w:p w14:paraId="296285DD">
            <w:pPr>
              <w:keepNext w:val="0"/>
              <w:keepLines w:val="0"/>
              <w:pageBreakBefore w:val="0"/>
              <w:kinsoku/>
              <w:wordWrap/>
              <w:overflowPunct/>
              <w:topLinePunct w:val="0"/>
              <w:bidi w:val="0"/>
              <w:snapToGrid/>
              <w:spacing w:before="120" w:beforeLines="50"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p>
        </w:tc>
      </w:tr>
      <w:tr w14:paraId="19A40749">
        <w:tblPrEx>
          <w:tblCellMar>
            <w:top w:w="0" w:type="dxa"/>
            <w:left w:w="108" w:type="dxa"/>
            <w:bottom w:w="0" w:type="dxa"/>
            <w:right w:w="108" w:type="dxa"/>
          </w:tblCellMar>
        </w:tblPrEx>
        <w:trPr>
          <w:jc w:val="center"/>
        </w:trPr>
        <w:tc>
          <w:tcPr>
            <w:tcW w:w="4264" w:type="dxa"/>
            <w:shd w:val="clear" w:color="auto" w:fill="auto"/>
          </w:tcPr>
          <w:p w14:paraId="00456F55">
            <w:pPr>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4264" w:type="dxa"/>
            <w:shd w:val="clear" w:color="auto" w:fill="auto"/>
          </w:tcPr>
          <w:p w14:paraId="014E7D7C">
            <w:pPr>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r>
      <w:tr w14:paraId="1F943A80">
        <w:tblPrEx>
          <w:tblCellMar>
            <w:top w:w="0" w:type="dxa"/>
            <w:left w:w="108" w:type="dxa"/>
            <w:bottom w:w="0" w:type="dxa"/>
            <w:right w:w="108" w:type="dxa"/>
          </w:tblCellMar>
        </w:tblPrEx>
        <w:trPr>
          <w:jc w:val="center"/>
        </w:trPr>
        <w:tc>
          <w:tcPr>
            <w:tcW w:w="4264" w:type="dxa"/>
            <w:shd w:val="clear" w:color="auto" w:fill="auto"/>
          </w:tcPr>
          <w:p w14:paraId="3EB24B1A">
            <w:pPr>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p>
        </w:tc>
        <w:tc>
          <w:tcPr>
            <w:tcW w:w="4264" w:type="dxa"/>
            <w:shd w:val="clear" w:color="auto" w:fill="auto"/>
          </w:tcPr>
          <w:p w14:paraId="35F88513">
            <w:pPr>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p>
        </w:tc>
      </w:tr>
      <w:tr w14:paraId="1C1F7392">
        <w:tblPrEx>
          <w:tblCellMar>
            <w:top w:w="0" w:type="dxa"/>
            <w:left w:w="108" w:type="dxa"/>
            <w:bottom w:w="0" w:type="dxa"/>
            <w:right w:w="108" w:type="dxa"/>
          </w:tblCellMar>
        </w:tblPrEx>
        <w:trPr>
          <w:jc w:val="center"/>
        </w:trPr>
        <w:tc>
          <w:tcPr>
            <w:tcW w:w="8528" w:type="dxa"/>
            <w:gridSpan w:val="2"/>
            <w:shd w:val="clear" w:color="auto" w:fill="auto"/>
          </w:tcPr>
          <w:p w14:paraId="38930B7B">
            <w:pPr>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供应商名称（加盖公章）：</w:t>
            </w:r>
          </w:p>
        </w:tc>
      </w:tr>
      <w:tr w14:paraId="1EEB7EED">
        <w:tblPrEx>
          <w:tblCellMar>
            <w:top w:w="0" w:type="dxa"/>
            <w:left w:w="108" w:type="dxa"/>
            <w:bottom w:w="0" w:type="dxa"/>
            <w:right w:w="108" w:type="dxa"/>
          </w:tblCellMar>
        </w:tblPrEx>
        <w:trPr>
          <w:jc w:val="center"/>
        </w:trPr>
        <w:tc>
          <w:tcPr>
            <w:tcW w:w="8528" w:type="dxa"/>
            <w:gridSpan w:val="2"/>
            <w:shd w:val="clear" w:color="auto" w:fill="auto"/>
          </w:tcPr>
          <w:p w14:paraId="5463FC78">
            <w:pPr>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供应商法定代表人或被授权人（签名或盖章）：</w:t>
            </w:r>
          </w:p>
        </w:tc>
      </w:tr>
      <w:tr w14:paraId="367B847C">
        <w:tblPrEx>
          <w:tblCellMar>
            <w:top w:w="0" w:type="dxa"/>
            <w:left w:w="108" w:type="dxa"/>
            <w:bottom w:w="0" w:type="dxa"/>
            <w:right w:w="108" w:type="dxa"/>
          </w:tblCellMar>
        </w:tblPrEx>
        <w:trPr>
          <w:jc w:val="center"/>
        </w:trPr>
        <w:tc>
          <w:tcPr>
            <w:tcW w:w="8528" w:type="dxa"/>
            <w:gridSpan w:val="2"/>
            <w:shd w:val="clear" w:color="auto" w:fill="auto"/>
          </w:tcPr>
          <w:p w14:paraId="25E3AB2C">
            <w:pPr>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tc>
      </w:tr>
    </w:tbl>
    <w:p w14:paraId="352E5E9E">
      <w:pPr>
        <w:spacing w:before="120" w:beforeLines="50" w:after="120" w:afterLines="50" w:line="360" w:lineRule="auto"/>
        <w:jc w:val="center"/>
        <w:rPr>
          <w:rFonts w:hint="eastAsia" w:ascii="宋体" w:hAnsi="宋体" w:eastAsia="宋体" w:cs="宋体"/>
          <w:b/>
          <w:color w:val="auto"/>
          <w:spacing w:val="20"/>
          <w:sz w:val="30"/>
          <w:szCs w:val="30"/>
          <w:highlight w:val="yellow"/>
        </w:rPr>
      </w:pPr>
    </w:p>
    <w:p w14:paraId="7A4CCE2C">
      <w:pPr>
        <w:rPr>
          <w:rFonts w:hint="eastAsia" w:ascii="宋体" w:hAnsi="宋体" w:eastAsia="宋体" w:cs="宋体"/>
          <w:b/>
          <w:color w:val="auto"/>
          <w:spacing w:val="20"/>
          <w:sz w:val="30"/>
          <w:szCs w:val="30"/>
          <w:highlight w:val="yellow"/>
        </w:rPr>
      </w:pPr>
      <w:r>
        <w:rPr>
          <w:rFonts w:hint="eastAsia" w:ascii="宋体" w:hAnsi="宋体" w:eastAsia="宋体" w:cs="宋体"/>
          <w:b/>
          <w:color w:val="auto"/>
          <w:spacing w:val="20"/>
          <w:sz w:val="30"/>
          <w:szCs w:val="30"/>
          <w:highlight w:val="yellow"/>
        </w:rPr>
        <w:br w:type="page"/>
      </w:r>
    </w:p>
    <w:p w14:paraId="17ED4B65">
      <w:pPr>
        <w:spacing w:line="360" w:lineRule="auto"/>
        <w:jc w:val="center"/>
        <w:rPr>
          <w:rFonts w:hint="eastAsia" w:ascii="宋体" w:hAnsi="宋体" w:eastAsia="宋体" w:cs="宋体"/>
          <w:b/>
          <w:color w:val="auto"/>
          <w:sz w:val="36"/>
          <w:szCs w:val="36"/>
          <w:highlight w:val="yellow"/>
          <w:lang w:val="zh-CN"/>
        </w:rPr>
      </w:pPr>
    </w:p>
    <w:p w14:paraId="7D0D62E4">
      <w:pPr>
        <w:spacing w:line="360" w:lineRule="auto"/>
        <w:jc w:val="center"/>
        <w:rPr>
          <w:rFonts w:hint="eastAsia" w:ascii="宋体" w:hAnsi="宋体" w:eastAsia="宋体" w:cs="宋体"/>
          <w:b/>
          <w:color w:val="auto"/>
          <w:sz w:val="36"/>
          <w:szCs w:val="36"/>
          <w:highlight w:val="none"/>
          <w:lang w:val="zh-CN"/>
        </w:rPr>
      </w:pPr>
      <w:r>
        <w:rPr>
          <w:rFonts w:hint="eastAsia" w:ascii="宋体" w:hAnsi="宋体" w:cs="宋体"/>
          <w:b/>
          <w:color w:val="auto"/>
          <w:sz w:val="36"/>
          <w:szCs w:val="36"/>
          <w:highlight w:val="none"/>
          <w:lang w:val="en-US" w:eastAsia="zh-CN"/>
        </w:rPr>
        <w:t>二</w:t>
      </w:r>
      <w:r>
        <w:rPr>
          <w:rFonts w:hint="eastAsia" w:ascii="宋体" w:hAnsi="宋体" w:eastAsia="宋体" w:cs="宋体"/>
          <w:b/>
          <w:color w:val="auto"/>
          <w:sz w:val="36"/>
          <w:szCs w:val="36"/>
          <w:highlight w:val="none"/>
          <w:lang w:val="zh-CN"/>
        </w:rPr>
        <w:t>、</w:t>
      </w:r>
      <w:r>
        <w:rPr>
          <w:rFonts w:hint="eastAsia" w:ascii="宋体" w:hAnsi="宋体" w:eastAsia="宋体" w:cs="宋体"/>
          <w:b/>
          <w:color w:val="auto"/>
          <w:sz w:val="36"/>
          <w:szCs w:val="36"/>
          <w:highlight w:val="none"/>
        </w:rPr>
        <w:t>开 标 一 览 表</w:t>
      </w:r>
    </w:p>
    <w:p w14:paraId="36B6038D">
      <w:pPr>
        <w:rPr>
          <w:rFonts w:hint="eastAsia" w:ascii="宋体" w:hAnsi="宋体" w:eastAsia="宋体" w:cs="宋体"/>
          <w:color w:val="auto"/>
          <w:szCs w:val="21"/>
          <w:highlight w:val="none"/>
        </w:rPr>
      </w:pPr>
    </w:p>
    <w:p w14:paraId="76F55FC1">
      <w:pPr>
        <w:keepNext w:val="0"/>
        <w:keepLines w:val="0"/>
        <w:pageBreakBefore w:val="0"/>
        <w:widowControl/>
        <w:kinsoku/>
        <w:wordWrap/>
        <w:overflowPunct/>
        <w:topLinePunct w:val="0"/>
        <w:autoSpaceDE/>
        <w:autoSpaceDN/>
        <w:bidi w:val="0"/>
        <w:adjustRightInd/>
        <w:snapToGrid/>
        <w:spacing w:line="288" w:lineRule="auto"/>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w:t>
      </w:r>
      <w:r>
        <w:rPr>
          <w:rFonts w:hint="eastAsia" w:ascii="宋体" w:hAnsi="宋体" w:cs="宋体"/>
          <w:color w:val="auto"/>
          <w:sz w:val="24"/>
          <w:szCs w:val="24"/>
          <w:highlight w:val="none"/>
          <w:lang w:val="en-US" w:eastAsia="zh-CN"/>
        </w:rPr>
        <w:t>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u w:val="single"/>
          <w:lang w:val="en-US" w:eastAsia="zh-CN"/>
        </w:rPr>
        <w:t xml:space="preserve">                  </w:t>
      </w:r>
    </w:p>
    <w:p w14:paraId="1968A83D">
      <w:pPr>
        <w:keepNext w:val="0"/>
        <w:keepLines w:val="0"/>
        <w:pageBreakBefore w:val="0"/>
        <w:widowControl/>
        <w:kinsoku/>
        <w:wordWrap/>
        <w:overflowPunct/>
        <w:topLinePunct w:val="0"/>
        <w:autoSpaceDE/>
        <w:autoSpaceDN/>
        <w:bidi w:val="0"/>
        <w:adjustRightInd/>
        <w:snapToGrid/>
        <w:spacing w:line="288" w:lineRule="auto"/>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开标时间：</w:t>
      </w:r>
      <w:r>
        <w:rPr>
          <w:rFonts w:hint="eastAsia" w:ascii="宋体" w:hAnsi="宋体" w:cs="宋体"/>
          <w:color w:val="auto"/>
          <w:sz w:val="24"/>
          <w:szCs w:val="24"/>
          <w:highlight w:val="none"/>
          <w:u w:val="single"/>
          <w:lang w:val="en-US" w:eastAsia="zh-CN"/>
        </w:rPr>
        <w:t xml:space="preserve">         </w:t>
      </w:r>
    </w:p>
    <w:tbl>
      <w:tblPr>
        <w:tblStyle w:val="45"/>
        <w:tblW w:w="8917" w:type="dxa"/>
        <w:tblInd w:w="80" w:type="dxa"/>
        <w:tblLayout w:type="fixed"/>
        <w:tblCellMar>
          <w:top w:w="0" w:type="dxa"/>
          <w:left w:w="108" w:type="dxa"/>
          <w:bottom w:w="0" w:type="dxa"/>
          <w:right w:w="108" w:type="dxa"/>
        </w:tblCellMar>
      </w:tblPr>
      <w:tblGrid>
        <w:gridCol w:w="2582"/>
        <w:gridCol w:w="2219"/>
        <w:gridCol w:w="2246"/>
        <w:gridCol w:w="1870"/>
      </w:tblGrid>
      <w:tr w14:paraId="6D9EA824">
        <w:trPr>
          <w:trHeight w:val="655" w:hRule="atLeast"/>
        </w:trPr>
        <w:tc>
          <w:tcPr>
            <w:tcW w:w="2582" w:type="dxa"/>
            <w:tcBorders>
              <w:top w:val="single" w:color="auto" w:sz="4" w:space="0"/>
              <w:left w:val="single" w:color="auto" w:sz="4" w:space="0"/>
              <w:bottom w:val="single" w:color="auto" w:sz="4" w:space="0"/>
              <w:right w:val="single" w:color="auto" w:sz="4" w:space="0"/>
            </w:tcBorders>
            <w:shd w:val="clear" w:color="auto" w:fill="auto"/>
            <w:vAlign w:val="center"/>
          </w:tcPr>
          <w:p w14:paraId="2D9A1A23">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2219" w:type="dxa"/>
            <w:tcBorders>
              <w:top w:val="single" w:color="auto" w:sz="4" w:space="0"/>
              <w:left w:val="single" w:color="auto" w:sz="4" w:space="0"/>
              <w:bottom w:val="single" w:color="auto" w:sz="4" w:space="0"/>
              <w:right w:val="single" w:color="auto" w:sz="4" w:space="0"/>
            </w:tcBorders>
            <w:shd w:val="clear" w:color="auto" w:fill="auto"/>
            <w:vAlign w:val="center"/>
          </w:tcPr>
          <w:p w14:paraId="498C98E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投</w:t>
            </w:r>
            <w:r>
              <w:rPr>
                <w:rFonts w:hint="eastAsia" w:ascii="宋体" w:hAnsi="宋体" w:eastAsia="宋体" w:cs="宋体"/>
                <w:color w:val="auto"/>
                <w:sz w:val="24"/>
                <w:szCs w:val="24"/>
                <w:highlight w:val="none"/>
              </w:rPr>
              <w:t>标</w:t>
            </w:r>
            <w:r>
              <w:rPr>
                <w:rFonts w:hint="eastAsia" w:ascii="宋体" w:hAnsi="宋体" w:cs="宋体"/>
                <w:color w:val="auto"/>
                <w:sz w:val="24"/>
                <w:szCs w:val="24"/>
                <w:highlight w:val="none"/>
                <w:lang w:val="en-US" w:eastAsia="zh-CN"/>
              </w:rPr>
              <w:t>总</w:t>
            </w:r>
            <w:r>
              <w:rPr>
                <w:rFonts w:hint="eastAsia" w:ascii="宋体" w:hAnsi="宋体" w:eastAsia="宋体" w:cs="宋体"/>
                <w:color w:val="auto"/>
                <w:sz w:val="24"/>
                <w:szCs w:val="24"/>
                <w:highlight w:val="none"/>
              </w:rPr>
              <w:t>报价</w:t>
            </w:r>
          </w:p>
          <w:p w14:paraId="7EBA1B41">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2246" w:type="dxa"/>
            <w:tcBorders>
              <w:top w:val="single" w:color="auto" w:sz="4" w:space="0"/>
              <w:left w:val="nil"/>
              <w:bottom w:val="single" w:color="auto" w:sz="4" w:space="0"/>
              <w:right w:val="single" w:color="auto" w:sz="4" w:space="0"/>
            </w:tcBorders>
            <w:shd w:val="clear" w:color="auto" w:fill="auto"/>
            <w:vAlign w:val="center"/>
          </w:tcPr>
          <w:p w14:paraId="76C6958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供货期</w:t>
            </w:r>
          </w:p>
        </w:tc>
        <w:tc>
          <w:tcPr>
            <w:tcW w:w="1870" w:type="dxa"/>
            <w:tcBorders>
              <w:top w:val="single" w:color="auto" w:sz="4" w:space="0"/>
              <w:left w:val="nil"/>
              <w:bottom w:val="single" w:color="auto" w:sz="4" w:space="0"/>
              <w:right w:val="single" w:color="auto" w:sz="4" w:space="0"/>
            </w:tcBorders>
            <w:shd w:val="clear" w:color="auto" w:fill="auto"/>
            <w:vAlign w:val="center"/>
          </w:tcPr>
          <w:p w14:paraId="71EA250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质量标准</w:t>
            </w:r>
          </w:p>
        </w:tc>
      </w:tr>
      <w:tr w14:paraId="3F4E5A56">
        <w:tblPrEx>
          <w:tblCellMar>
            <w:top w:w="0" w:type="dxa"/>
            <w:left w:w="108" w:type="dxa"/>
            <w:bottom w:w="0" w:type="dxa"/>
            <w:right w:w="108" w:type="dxa"/>
          </w:tblCellMar>
        </w:tblPrEx>
        <w:trPr>
          <w:trHeight w:val="874" w:hRule="atLeast"/>
        </w:trPr>
        <w:tc>
          <w:tcPr>
            <w:tcW w:w="2582" w:type="dxa"/>
            <w:tcBorders>
              <w:top w:val="single" w:color="auto" w:sz="4" w:space="0"/>
              <w:left w:val="single" w:color="auto" w:sz="4" w:space="0"/>
              <w:bottom w:val="single" w:color="auto" w:sz="4" w:space="0"/>
              <w:right w:val="single" w:color="auto" w:sz="4" w:space="0"/>
            </w:tcBorders>
            <w:shd w:val="clear" w:color="auto" w:fill="auto"/>
            <w:vAlign w:val="center"/>
          </w:tcPr>
          <w:p w14:paraId="09B59D18">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rPr>
            </w:pPr>
          </w:p>
        </w:tc>
        <w:tc>
          <w:tcPr>
            <w:tcW w:w="2219" w:type="dxa"/>
            <w:tcBorders>
              <w:top w:val="single" w:color="auto" w:sz="4" w:space="0"/>
              <w:left w:val="single" w:color="auto" w:sz="4" w:space="0"/>
              <w:bottom w:val="single" w:color="auto" w:sz="4" w:space="0"/>
              <w:right w:val="single" w:color="auto" w:sz="4" w:space="0"/>
            </w:tcBorders>
            <w:shd w:val="clear" w:color="auto" w:fill="auto"/>
            <w:vAlign w:val="center"/>
          </w:tcPr>
          <w:p w14:paraId="1C48B3A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rPr>
            </w:pPr>
          </w:p>
        </w:tc>
        <w:tc>
          <w:tcPr>
            <w:tcW w:w="2246" w:type="dxa"/>
            <w:tcBorders>
              <w:top w:val="single" w:color="auto" w:sz="4" w:space="0"/>
              <w:left w:val="nil"/>
              <w:bottom w:val="single" w:color="auto" w:sz="4" w:space="0"/>
              <w:right w:val="single" w:color="auto" w:sz="4" w:space="0"/>
            </w:tcBorders>
            <w:shd w:val="clear" w:color="auto" w:fill="auto"/>
            <w:noWrap/>
            <w:vAlign w:val="center"/>
          </w:tcPr>
          <w:p w14:paraId="3352424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rPr>
            </w:pPr>
          </w:p>
        </w:tc>
        <w:tc>
          <w:tcPr>
            <w:tcW w:w="1870" w:type="dxa"/>
            <w:tcBorders>
              <w:top w:val="single" w:color="auto" w:sz="4" w:space="0"/>
              <w:left w:val="nil"/>
              <w:bottom w:val="single" w:color="auto" w:sz="4" w:space="0"/>
              <w:right w:val="single" w:color="auto" w:sz="4" w:space="0"/>
            </w:tcBorders>
            <w:shd w:val="clear" w:color="auto" w:fill="auto"/>
            <w:vAlign w:val="center"/>
          </w:tcPr>
          <w:p w14:paraId="7F2D5A7A">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rPr>
            </w:pPr>
          </w:p>
        </w:tc>
      </w:tr>
    </w:tbl>
    <w:p w14:paraId="543175E8">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注：1、本表只作唱标用，但本表的一切内容均具有法律效力，不得更改；</w:t>
      </w:r>
    </w:p>
    <w:p w14:paraId="552BB286">
      <w:pPr>
        <w:keepNext w:val="0"/>
        <w:keepLines w:val="0"/>
        <w:pageBreakBefore w:val="0"/>
        <w:widowControl/>
        <w:kinsoku/>
        <w:wordWrap/>
        <w:overflowPunct/>
        <w:topLinePunct w:val="0"/>
        <w:autoSpaceDE/>
        <w:autoSpaceDN/>
        <w:bidi w:val="0"/>
        <w:adjustRightInd/>
        <w:snapToGrid/>
        <w:spacing w:line="288" w:lineRule="auto"/>
        <w:ind w:firstLine="408"/>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2、投标报价</w:t>
      </w:r>
      <w:r>
        <w:rPr>
          <w:rFonts w:hint="eastAsia" w:ascii="宋体" w:hAnsi="宋体" w:eastAsia="宋体" w:cs="宋体"/>
          <w:b/>
          <w:color w:val="auto"/>
          <w:sz w:val="24"/>
          <w:szCs w:val="24"/>
          <w:highlight w:val="none"/>
        </w:rPr>
        <w:t>不超过</w:t>
      </w:r>
      <w:r>
        <w:rPr>
          <w:rFonts w:hint="eastAsia" w:ascii="宋体" w:hAnsi="宋体" w:eastAsia="宋体" w:cs="宋体"/>
          <w:b/>
          <w:color w:val="auto"/>
          <w:sz w:val="24"/>
          <w:szCs w:val="24"/>
          <w:highlight w:val="none"/>
          <w:lang w:val="zh-CN"/>
        </w:rPr>
        <w:t>预算金额</w:t>
      </w:r>
      <w:r>
        <w:rPr>
          <w:rFonts w:hint="eastAsia" w:ascii="宋体" w:hAnsi="宋体" w:eastAsia="宋体" w:cs="宋体"/>
          <w:b/>
          <w:color w:val="auto"/>
          <w:sz w:val="24"/>
          <w:szCs w:val="24"/>
          <w:highlight w:val="none"/>
        </w:rPr>
        <w:t>，超过为无效报价。</w:t>
      </w:r>
      <w:r>
        <w:rPr>
          <w:rFonts w:hint="eastAsia" w:ascii="宋体" w:hAnsi="宋体" w:eastAsia="宋体" w:cs="宋体"/>
          <w:b/>
          <w:bCs/>
          <w:color w:val="auto"/>
          <w:sz w:val="24"/>
          <w:szCs w:val="24"/>
          <w:highlight w:val="none"/>
        </w:rPr>
        <w:t>本表中填写的投标报价应与投标函中填写的投标报价相一致，如果不一致</w:t>
      </w:r>
      <w:r>
        <w:rPr>
          <w:rFonts w:hint="eastAsia" w:ascii="宋体" w:hAnsi="宋体" w:cs="宋体"/>
          <w:b/>
          <w:bCs/>
          <w:color w:val="auto"/>
          <w:sz w:val="24"/>
          <w:szCs w:val="24"/>
          <w:highlight w:val="none"/>
          <w:lang w:eastAsia="zh-CN"/>
        </w:rPr>
        <w:t>以本表为准</w:t>
      </w:r>
      <w:r>
        <w:rPr>
          <w:rFonts w:hint="eastAsia" w:ascii="宋体" w:hAnsi="宋体" w:eastAsia="宋体" w:cs="宋体"/>
          <w:b/>
          <w:bCs/>
          <w:color w:val="auto"/>
          <w:sz w:val="24"/>
          <w:szCs w:val="24"/>
          <w:highlight w:val="none"/>
        </w:rPr>
        <w:t>；</w:t>
      </w:r>
    </w:p>
    <w:p w14:paraId="3483EA1E">
      <w:pPr>
        <w:keepNext w:val="0"/>
        <w:keepLines w:val="0"/>
        <w:pageBreakBefore w:val="0"/>
        <w:widowControl/>
        <w:kinsoku/>
        <w:wordWrap/>
        <w:overflowPunct/>
        <w:topLinePunct w:val="0"/>
        <w:autoSpaceDE/>
        <w:autoSpaceDN/>
        <w:bidi w:val="0"/>
        <w:adjustRightInd/>
        <w:snapToGrid/>
        <w:spacing w:line="288" w:lineRule="auto"/>
        <w:ind w:firstLine="408"/>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投标报价保留至小数点后</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位</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未按要求保留小数位数的视为无效报价</w:t>
      </w:r>
      <w:r>
        <w:rPr>
          <w:rFonts w:hint="eastAsia" w:ascii="宋体" w:hAnsi="宋体" w:eastAsia="宋体" w:cs="宋体"/>
          <w:b/>
          <w:bCs/>
          <w:color w:val="auto"/>
          <w:sz w:val="24"/>
          <w:szCs w:val="24"/>
          <w:highlight w:val="none"/>
          <w:lang w:eastAsia="zh-CN"/>
        </w:rPr>
        <w:t>。</w:t>
      </w:r>
    </w:p>
    <w:p w14:paraId="518B5E84">
      <w:pPr>
        <w:pStyle w:val="64"/>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p>
    <w:p w14:paraId="046F8417">
      <w:pPr>
        <w:keepNext w:val="0"/>
        <w:keepLines w:val="0"/>
        <w:pageBreakBefore w:val="0"/>
        <w:widowControl/>
        <w:kinsoku/>
        <w:wordWrap/>
        <w:overflowPunct/>
        <w:topLinePunct w:val="0"/>
        <w:autoSpaceDE/>
        <w:autoSpaceDN/>
        <w:bidi w:val="0"/>
        <w:adjustRightInd/>
        <w:snapToGrid/>
        <w:spacing w:line="288" w:lineRule="auto"/>
        <w:ind w:firstLine="472" w:firstLineChars="19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3AA15C42">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sz w:val="24"/>
          <w:szCs w:val="24"/>
          <w:highlight w:val="none"/>
        </w:rPr>
      </w:pPr>
    </w:p>
    <w:p w14:paraId="4EEDBE35">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（公章）                    </w:t>
      </w:r>
    </w:p>
    <w:p w14:paraId="40F19F1E">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p>
    <w:p w14:paraId="23367340">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rPr>
        <w:t>委托代理人：            （</w:t>
      </w:r>
      <w:r>
        <w:rPr>
          <w:rFonts w:hint="eastAsia" w:ascii="宋体" w:hAnsi="宋体" w:eastAsia="宋体" w:cs="宋体"/>
          <w:color w:val="auto"/>
          <w:sz w:val="24"/>
          <w:szCs w:val="24"/>
          <w:highlight w:val="none"/>
          <w:lang w:eastAsia="zh-CN"/>
        </w:rPr>
        <w:t>签字</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盖章）</w:t>
      </w:r>
    </w:p>
    <w:p w14:paraId="1CAE7642">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p>
    <w:p w14:paraId="74F3382B">
      <w:pPr>
        <w:keepNext w:val="0"/>
        <w:keepLines w:val="0"/>
        <w:pageBreakBefore w:val="0"/>
        <w:widowControl/>
        <w:kinsoku/>
        <w:wordWrap/>
        <w:overflowPunct/>
        <w:topLinePunct w:val="0"/>
        <w:autoSpaceDE/>
        <w:autoSpaceDN/>
        <w:bidi w:val="0"/>
        <w:adjustRightInd/>
        <w:snapToGrid/>
        <w:spacing w:line="288" w:lineRule="auto"/>
        <w:ind w:firstLine="4560" w:firstLineChars="1900"/>
        <w:textAlignment w:val="auto"/>
        <w:rPr>
          <w:rFonts w:hint="eastAsia" w:ascii="宋体" w:hAnsi="宋体" w:eastAsia="宋体" w:cs="宋体"/>
          <w:color w:val="auto"/>
          <w:sz w:val="24"/>
          <w:szCs w:val="24"/>
          <w:highlight w:val="none"/>
        </w:rPr>
      </w:pPr>
    </w:p>
    <w:p w14:paraId="77FDB30C">
      <w:pPr>
        <w:keepNext w:val="0"/>
        <w:keepLines w:val="0"/>
        <w:pageBreakBefore w:val="0"/>
        <w:widowControl/>
        <w:kinsoku/>
        <w:wordWrap/>
        <w:overflowPunct/>
        <w:topLinePunct w:val="0"/>
        <w:autoSpaceDE/>
        <w:autoSpaceDN/>
        <w:bidi w:val="0"/>
        <w:adjustRightInd/>
        <w:snapToGrid/>
        <w:spacing w:line="288" w:lineRule="auto"/>
        <w:ind w:firstLine="6480" w:firstLineChars="27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日　　期：</w:t>
      </w:r>
    </w:p>
    <w:p w14:paraId="15D2FDE7">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735AE454">
      <w:pPr>
        <w:spacing w:line="360" w:lineRule="auto"/>
        <w:jc w:val="center"/>
        <w:rPr>
          <w:rFonts w:hint="eastAsia" w:ascii="宋体" w:hAnsi="宋体" w:eastAsia="宋体" w:cs="宋体"/>
          <w:b/>
          <w:color w:val="auto"/>
          <w:sz w:val="36"/>
          <w:szCs w:val="36"/>
          <w:highlight w:val="none"/>
          <w:lang w:val="zh-CN"/>
        </w:rPr>
      </w:pPr>
    </w:p>
    <w:p w14:paraId="6EECD311">
      <w:pPr>
        <w:spacing w:line="360" w:lineRule="auto"/>
        <w:ind w:firstLine="723" w:firstLineChars="200"/>
        <w:jc w:val="cente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三</w:t>
      </w:r>
      <w:r>
        <w:rPr>
          <w:rFonts w:hint="eastAsia" w:ascii="宋体" w:hAnsi="宋体" w:eastAsia="宋体" w:cs="宋体"/>
          <w:b/>
          <w:color w:val="auto"/>
          <w:sz w:val="36"/>
          <w:szCs w:val="36"/>
          <w:highlight w:val="none"/>
          <w:lang w:val="zh-CN" w:eastAsia="zh-CN"/>
        </w:rPr>
        <w:t>、</w:t>
      </w:r>
      <w:r>
        <w:rPr>
          <w:rFonts w:hint="eastAsia" w:ascii="宋体" w:hAnsi="宋体" w:eastAsia="宋体" w:cs="宋体"/>
          <w:b/>
          <w:color w:val="auto"/>
          <w:sz w:val="36"/>
          <w:szCs w:val="36"/>
          <w:highlight w:val="none"/>
          <w:lang w:val="en-US" w:eastAsia="zh-CN"/>
        </w:rPr>
        <w:t>投标报价一览表</w:t>
      </w:r>
    </w:p>
    <w:p w14:paraId="2EE6B111">
      <w:pPr>
        <w:spacing w:line="360" w:lineRule="auto"/>
        <w:ind w:firstLine="480" w:firstLineChars="200"/>
        <w:rPr>
          <w:rFonts w:hint="eastAsia" w:ascii="宋体" w:hAnsi="宋体" w:cs="宋体"/>
          <w:bCs/>
          <w:sz w:val="24"/>
          <w:szCs w:val="24"/>
          <w:highlight w:val="none"/>
          <w:u w:val="single"/>
        </w:rPr>
      </w:pPr>
      <w:r>
        <w:rPr>
          <w:rFonts w:hint="eastAsia" w:ascii="宋体" w:hAnsi="宋体" w:cs="宋体"/>
          <w:bCs/>
          <w:sz w:val="24"/>
          <w:szCs w:val="24"/>
          <w:highlight w:val="none"/>
        </w:rPr>
        <w:t>项目名称：</w:t>
      </w:r>
    </w:p>
    <w:tbl>
      <w:tblPr>
        <w:tblStyle w:val="45"/>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133"/>
        <w:gridCol w:w="764"/>
        <w:gridCol w:w="1346"/>
        <w:gridCol w:w="1180"/>
        <w:gridCol w:w="1136"/>
        <w:gridCol w:w="744"/>
        <w:gridCol w:w="1694"/>
        <w:gridCol w:w="723"/>
      </w:tblGrid>
      <w:tr w14:paraId="471A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76" w:type="dxa"/>
            <w:noWrap w:val="0"/>
            <w:vAlign w:val="center"/>
          </w:tcPr>
          <w:p w14:paraId="1E5F3157">
            <w:pPr>
              <w:spacing w:line="360" w:lineRule="auto"/>
              <w:jc w:val="center"/>
              <w:rPr>
                <w:rFonts w:hint="eastAsia" w:ascii="宋体" w:hAnsi="宋体" w:cs="宋体"/>
                <w:bCs/>
                <w:sz w:val="24"/>
                <w:szCs w:val="24"/>
                <w:highlight w:val="none"/>
              </w:rPr>
            </w:pPr>
            <w:r>
              <w:rPr>
                <w:rFonts w:hint="eastAsia" w:ascii="宋体" w:hAnsi="宋体" w:cs="宋体"/>
                <w:bCs/>
                <w:sz w:val="24"/>
                <w:szCs w:val="24"/>
                <w:highlight w:val="none"/>
              </w:rPr>
              <w:t>序号</w:t>
            </w:r>
          </w:p>
        </w:tc>
        <w:tc>
          <w:tcPr>
            <w:tcW w:w="1133" w:type="dxa"/>
            <w:noWrap w:val="0"/>
            <w:vAlign w:val="center"/>
          </w:tcPr>
          <w:p w14:paraId="17655E6F">
            <w:pPr>
              <w:spacing w:line="360" w:lineRule="auto"/>
              <w:jc w:val="center"/>
              <w:rPr>
                <w:rFonts w:hint="eastAsia" w:ascii="宋体" w:hAnsi="宋体" w:cs="宋体"/>
                <w:bCs/>
                <w:sz w:val="24"/>
                <w:szCs w:val="24"/>
                <w:highlight w:val="none"/>
              </w:rPr>
            </w:pPr>
            <w:r>
              <w:rPr>
                <w:rFonts w:hint="eastAsia" w:ascii="宋体" w:hAnsi="宋体" w:cs="宋体"/>
                <w:bCs/>
                <w:sz w:val="24"/>
                <w:szCs w:val="24"/>
                <w:highlight w:val="none"/>
              </w:rPr>
              <w:t>名称</w:t>
            </w:r>
          </w:p>
        </w:tc>
        <w:tc>
          <w:tcPr>
            <w:tcW w:w="764" w:type="dxa"/>
            <w:noWrap w:val="0"/>
            <w:vAlign w:val="center"/>
          </w:tcPr>
          <w:p w14:paraId="23FEF647">
            <w:pPr>
              <w:spacing w:line="360" w:lineRule="auto"/>
              <w:jc w:val="center"/>
              <w:rPr>
                <w:rFonts w:ascii="宋体" w:hAnsi="宋体" w:cs="宋体"/>
                <w:bCs/>
                <w:sz w:val="24"/>
                <w:szCs w:val="24"/>
                <w:highlight w:val="none"/>
              </w:rPr>
            </w:pPr>
            <w:r>
              <w:rPr>
                <w:rFonts w:hint="eastAsia" w:ascii="宋体" w:hAnsi="宋体" w:cs="宋体"/>
                <w:bCs/>
                <w:sz w:val="24"/>
                <w:szCs w:val="24"/>
                <w:highlight w:val="none"/>
              </w:rPr>
              <w:t>品牌</w:t>
            </w:r>
          </w:p>
        </w:tc>
        <w:tc>
          <w:tcPr>
            <w:tcW w:w="1346" w:type="dxa"/>
            <w:noWrap w:val="0"/>
            <w:vAlign w:val="center"/>
          </w:tcPr>
          <w:p w14:paraId="572043B6">
            <w:pPr>
              <w:spacing w:line="360" w:lineRule="auto"/>
              <w:jc w:val="center"/>
              <w:rPr>
                <w:rFonts w:ascii="宋体" w:hAnsi="宋体" w:cs="宋体"/>
                <w:bCs/>
                <w:sz w:val="24"/>
                <w:szCs w:val="24"/>
                <w:highlight w:val="none"/>
              </w:rPr>
            </w:pPr>
            <w:r>
              <w:rPr>
                <w:rFonts w:hint="eastAsia" w:ascii="宋体" w:hAnsi="宋体" w:cs="宋体"/>
                <w:bCs/>
                <w:sz w:val="24"/>
                <w:szCs w:val="24"/>
                <w:highlight w:val="none"/>
              </w:rPr>
              <w:t>规格、型号</w:t>
            </w:r>
          </w:p>
        </w:tc>
        <w:tc>
          <w:tcPr>
            <w:tcW w:w="1180" w:type="dxa"/>
            <w:noWrap w:val="0"/>
            <w:vAlign w:val="center"/>
          </w:tcPr>
          <w:p w14:paraId="6542A329">
            <w:pPr>
              <w:spacing w:line="360" w:lineRule="auto"/>
              <w:jc w:val="center"/>
              <w:rPr>
                <w:rFonts w:ascii="宋体" w:hAnsi="宋体" w:cs="宋体"/>
                <w:bCs/>
                <w:sz w:val="24"/>
                <w:szCs w:val="24"/>
                <w:highlight w:val="none"/>
              </w:rPr>
            </w:pPr>
            <w:r>
              <w:rPr>
                <w:rFonts w:hint="eastAsia" w:ascii="宋体" w:hAnsi="宋体" w:cs="宋体"/>
                <w:bCs/>
                <w:sz w:val="24"/>
                <w:szCs w:val="24"/>
                <w:highlight w:val="none"/>
              </w:rPr>
              <w:t>参数</w:t>
            </w:r>
          </w:p>
        </w:tc>
        <w:tc>
          <w:tcPr>
            <w:tcW w:w="1136" w:type="dxa"/>
            <w:noWrap w:val="0"/>
            <w:vAlign w:val="center"/>
          </w:tcPr>
          <w:p w14:paraId="12F58060">
            <w:pPr>
              <w:spacing w:line="360" w:lineRule="auto"/>
              <w:jc w:val="center"/>
              <w:rPr>
                <w:rFonts w:ascii="宋体" w:hAnsi="宋体" w:cs="宋体"/>
                <w:bCs/>
                <w:sz w:val="24"/>
                <w:szCs w:val="24"/>
                <w:highlight w:val="none"/>
              </w:rPr>
            </w:pPr>
            <w:r>
              <w:rPr>
                <w:rFonts w:hint="eastAsia" w:ascii="宋体" w:hAnsi="宋体" w:cs="宋体"/>
                <w:bCs/>
                <w:sz w:val="24"/>
                <w:szCs w:val="24"/>
                <w:highlight w:val="none"/>
              </w:rPr>
              <w:t>数量</w:t>
            </w:r>
          </w:p>
        </w:tc>
        <w:tc>
          <w:tcPr>
            <w:tcW w:w="744" w:type="dxa"/>
            <w:noWrap w:val="0"/>
            <w:vAlign w:val="center"/>
          </w:tcPr>
          <w:p w14:paraId="3D200BE7">
            <w:pPr>
              <w:spacing w:line="360" w:lineRule="auto"/>
              <w:jc w:val="center"/>
              <w:rPr>
                <w:rFonts w:hint="eastAsia" w:ascii="宋体" w:hAnsi="宋体" w:cs="宋体"/>
                <w:bCs/>
                <w:sz w:val="24"/>
                <w:szCs w:val="24"/>
                <w:highlight w:val="none"/>
              </w:rPr>
            </w:pPr>
            <w:r>
              <w:rPr>
                <w:rFonts w:hint="eastAsia" w:ascii="宋体" w:hAnsi="宋体" w:cs="宋体"/>
                <w:bCs/>
                <w:sz w:val="24"/>
                <w:szCs w:val="24"/>
                <w:highlight w:val="none"/>
              </w:rPr>
              <w:t>单位</w:t>
            </w:r>
          </w:p>
        </w:tc>
        <w:tc>
          <w:tcPr>
            <w:tcW w:w="1694" w:type="dxa"/>
            <w:noWrap w:val="0"/>
            <w:vAlign w:val="center"/>
          </w:tcPr>
          <w:p w14:paraId="7617C112">
            <w:pPr>
              <w:spacing w:line="360" w:lineRule="auto"/>
              <w:ind w:firstLine="480" w:firstLineChars="200"/>
              <w:jc w:val="center"/>
              <w:rPr>
                <w:rFonts w:hint="eastAsia" w:ascii="宋体" w:hAnsi="宋体" w:cs="宋体"/>
                <w:bCs/>
                <w:sz w:val="24"/>
                <w:szCs w:val="24"/>
                <w:highlight w:val="none"/>
              </w:rPr>
            </w:pPr>
            <w:r>
              <w:rPr>
                <w:rFonts w:hint="eastAsia" w:ascii="宋体" w:hAnsi="宋体" w:cs="宋体"/>
                <w:bCs/>
                <w:sz w:val="24"/>
                <w:szCs w:val="24"/>
                <w:highlight w:val="none"/>
              </w:rPr>
              <w:t>单价</w:t>
            </w:r>
          </w:p>
          <w:p w14:paraId="29DB4127">
            <w:pPr>
              <w:spacing w:line="360" w:lineRule="auto"/>
              <w:ind w:firstLine="480" w:firstLineChars="200"/>
              <w:jc w:val="center"/>
              <w:rPr>
                <w:rFonts w:ascii="宋体" w:hAnsi="宋体" w:cs="宋体"/>
                <w:bCs/>
                <w:sz w:val="24"/>
                <w:szCs w:val="24"/>
                <w:highlight w:val="none"/>
              </w:rPr>
            </w:pPr>
            <w:r>
              <w:rPr>
                <w:rFonts w:hint="eastAsia" w:ascii="宋体" w:hAnsi="宋体" w:cs="宋体"/>
                <w:bCs/>
                <w:sz w:val="24"/>
                <w:szCs w:val="24"/>
                <w:highlight w:val="none"/>
              </w:rPr>
              <w:t>（元）</w:t>
            </w:r>
          </w:p>
        </w:tc>
        <w:tc>
          <w:tcPr>
            <w:tcW w:w="723" w:type="dxa"/>
            <w:noWrap w:val="0"/>
            <w:vAlign w:val="center"/>
          </w:tcPr>
          <w:p w14:paraId="2E922130">
            <w:pPr>
              <w:spacing w:line="360" w:lineRule="auto"/>
              <w:jc w:val="center"/>
              <w:rPr>
                <w:rFonts w:hint="eastAsia" w:ascii="宋体" w:hAnsi="宋体" w:cs="宋体"/>
                <w:bCs/>
                <w:sz w:val="24"/>
                <w:szCs w:val="24"/>
                <w:highlight w:val="none"/>
              </w:rPr>
            </w:pPr>
            <w:r>
              <w:rPr>
                <w:rFonts w:hint="eastAsia" w:ascii="宋体" w:hAnsi="宋体" w:cs="宋体"/>
                <w:bCs/>
                <w:sz w:val="24"/>
                <w:szCs w:val="24"/>
                <w:highlight w:val="none"/>
              </w:rPr>
              <w:t>合计</w:t>
            </w:r>
          </w:p>
        </w:tc>
      </w:tr>
      <w:tr w14:paraId="0BB5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exact"/>
        </w:trPr>
        <w:tc>
          <w:tcPr>
            <w:tcW w:w="676" w:type="dxa"/>
            <w:noWrap w:val="0"/>
            <w:vAlign w:val="top"/>
          </w:tcPr>
          <w:p w14:paraId="21FDB415">
            <w:pPr>
              <w:spacing w:line="360" w:lineRule="auto"/>
              <w:rPr>
                <w:rFonts w:hint="eastAsia" w:ascii="宋体" w:hAnsi="宋体" w:cs="宋体"/>
                <w:b/>
                <w:sz w:val="24"/>
                <w:szCs w:val="24"/>
                <w:highlight w:val="none"/>
              </w:rPr>
            </w:pPr>
            <w:r>
              <w:rPr>
                <w:rFonts w:hint="eastAsia" w:ascii="宋体" w:hAnsi="宋体" w:cs="宋体"/>
                <w:b/>
                <w:sz w:val="24"/>
                <w:szCs w:val="24"/>
                <w:highlight w:val="none"/>
              </w:rPr>
              <w:t>1</w:t>
            </w:r>
          </w:p>
        </w:tc>
        <w:tc>
          <w:tcPr>
            <w:tcW w:w="1133" w:type="dxa"/>
            <w:noWrap w:val="0"/>
            <w:vAlign w:val="center"/>
          </w:tcPr>
          <w:p w14:paraId="0D39DB96">
            <w:pPr>
              <w:spacing w:line="360" w:lineRule="auto"/>
              <w:jc w:val="center"/>
              <w:rPr>
                <w:rFonts w:hint="eastAsia" w:ascii="宋体" w:hAnsi="宋体" w:cs="宋体"/>
                <w:b/>
                <w:sz w:val="24"/>
                <w:szCs w:val="24"/>
                <w:highlight w:val="none"/>
              </w:rPr>
            </w:pPr>
          </w:p>
        </w:tc>
        <w:tc>
          <w:tcPr>
            <w:tcW w:w="764" w:type="dxa"/>
            <w:noWrap w:val="0"/>
            <w:vAlign w:val="top"/>
          </w:tcPr>
          <w:p w14:paraId="6D81A058">
            <w:pPr>
              <w:spacing w:line="360" w:lineRule="auto"/>
              <w:rPr>
                <w:rFonts w:hint="eastAsia" w:ascii="宋体" w:hAnsi="宋体" w:cs="宋体"/>
                <w:b/>
                <w:sz w:val="24"/>
                <w:szCs w:val="24"/>
                <w:highlight w:val="none"/>
              </w:rPr>
            </w:pPr>
          </w:p>
        </w:tc>
        <w:tc>
          <w:tcPr>
            <w:tcW w:w="1346" w:type="dxa"/>
            <w:noWrap w:val="0"/>
            <w:vAlign w:val="top"/>
          </w:tcPr>
          <w:p w14:paraId="33A514AA">
            <w:pPr>
              <w:rPr>
                <w:rFonts w:hint="eastAsia" w:ascii="宋体" w:hAnsi="宋体" w:cs="宋体"/>
                <w:b/>
                <w:sz w:val="24"/>
                <w:szCs w:val="24"/>
                <w:highlight w:val="none"/>
              </w:rPr>
            </w:pPr>
          </w:p>
        </w:tc>
        <w:tc>
          <w:tcPr>
            <w:tcW w:w="1180" w:type="dxa"/>
            <w:noWrap w:val="0"/>
            <w:vAlign w:val="top"/>
          </w:tcPr>
          <w:p w14:paraId="20D0237A">
            <w:pPr>
              <w:rPr>
                <w:rFonts w:hint="eastAsia" w:ascii="宋体" w:hAnsi="宋体" w:cs="宋体"/>
                <w:b/>
                <w:sz w:val="24"/>
                <w:szCs w:val="24"/>
                <w:highlight w:val="none"/>
              </w:rPr>
            </w:pPr>
          </w:p>
        </w:tc>
        <w:tc>
          <w:tcPr>
            <w:tcW w:w="1136" w:type="dxa"/>
            <w:noWrap w:val="0"/>
            <w:vAlign w:val="top"/>
          </w:tcPr>
          <w:p w14:paraId="5BFB7E29">
            <w:pPr>
              <w:spacing w:line="360" w:lineRule="auto"/>
              <w:rPr>
                <w:rFonts w:hint="eastAsia" w:ascii="宋体" w:hAnsi="宋体" w:cs="宋体"/>
                <w:b/>
                <w:sz w:val="24"/>
                <w:szCs w:val="24"/>
                <w:highlight w:val="none"/>
              </w:rPr>
            </w:pPr>
          </w:p>
        </w:tc>
        <w:tc>
          <w:tcPr>
            <w:tcW w:w="744" w:type="dxa"/>
            <w:noWrap w:val="0"/>
            <w:vAlign w:val="top"/>
          </w:tcPr>
          <w:p w14:paraId="5B350137">
            <w:pPr>
              <w:spacing w:line="360" w:lineRule="auto"/>
              <w:rPr>
                <w:rFonts w:hint="eastAsia" w:ascii="宋体" w:hAnsi="宋体" w:cs="宋体"/>
                <w:b/>
                <w:sz w:val="24"/>
                <w:szCs w:val="24"/>
                <w:highlight w:val="none"/>
              </w:rPr>
            </w:pPr>
          </w:p>
        </w:tc>
        <w:tc>
          <w:tcPr>
            <w:tcW w:w="1694" w:type="dxa"/>
            <w:noWrap w:val="0"/>
            <w:vAlign w:val="top"/>
          </w:tcPr>
          <w:p w14:paraId="57B644BE">
            <w:pPr>
              <w:spacing w:line="360" w:lineRule="auto"/>
              <w:rPr>
                <w:rFonts w:hint="eastAsia" w:ascii="宋体" w:hAnsi="宋体" w:cs="宋体"/>
                <w:b/>
                <w:sz w:val="24"/>
                <w:szCs w:val="24"/>
                <w:highlight w:val="none"/>
              </w:rPr>
            </w:pPr>
          </w:p>
        </w:tc>
        <w:tc>
          <w:tcPr>
            <w:tcW w:w="723" w:type="dxa"/>
            <w:noWrap w:val="0"/>
            <w:vAlign w:val="top"/>
          </w:tcPr>
          <w:p w14:paraId="0E7FD6C1">
            <w:pPr>
              <w:spacing w:line="360" w:lineRule="auto"/>
              <w:rPr>
                <w:rFonts w:hint="eastAsia" w:ascii="宋体" w:hAnsi="宋体" w:cs="宋体"/>
                <w:b/>
                <w:sz w:val="24"/>
                <w:szCs w:val="24"/>
                <w:highlight w:val="none"/>
              </w:rPr>
            </w:pPr>
          </w:p>
        </w:tc>
      </w:tr>
      <w:tr w14:paraId="36DD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exact"/>
        </w:trPr>
        <w:tc>
          <w:tcPr>
            <w:tcW w:w="676" w:type="dxa"/>
            <w:noWrap w:val="0"/>
            <w:vAlign w:val="top"/>
          </w:tcPr>
          <w:p w14:paraId="3B0B8EC3">
            <w:pPr>
              <w:spacing w:line="360" w:lineRule="auto"/>
              <w:rPr>
                <w:rFonts w:hint="eastAsia" w:ascii="宋体" w:hAnsi="宋体" w:cs="宋体"/>
                <w:b/>
                <w:sz w:val="24"/>
                <w:szCs w:val="24"/>
                <w:highlight w:val="none"/>
              </w:rPr>
            </w:pPr>
          </w:p>
        </w:tc>
        <w:tc>
          <w:tcPr>
            <w:tcW w:w="1133" w:type="dxa"/>
            <w:noWrap w:val="0"/>
            <w:vAlign w:val="center"/>
          </w:tcPr>
          <w:p w14:paraId="3CFC9FD8">
            <w:pPr>
              <w:spacing w:line="360" w:lineRule="auto"/>
              <w:jc w:val="center"/>
              <w:rPr>
                <w:rFonts w:hint="eastAsia" w:ascii="宋体" w:hAnsi="宋体" w:cs="宋体"/>
                <w:b/>
                <w:sz w:val="24"/>
                <w:szCs w:val="24"/>
                <w:highlight w:val="none"/>
              </w:rPr>
            </w:pPr>
          </w:p>
        </w:tc>
        <w:tc>
          <w:tcPr>
            <w:tcW w:w="764" w:type="dxa"/>
            <w:noWrap w:val="0"/>
            <w:vAlign w:val="top"/>
          </w:tcPr>
          <w:p w14:paraId="252D7753">
            <w:pPr>
              <w:spacing w:line="360" w:lineRule="auto"/>
              <w:rPr>
                <w:rFonts w:hint="eastAsia" w:ascii="宋体" w:hAnsi="宋体" w:cs="宋体"/>
                <w:b/>
                <w:sz w:val="24"/>
                <w:szCs w:val="24"/>
                <w:highlight w:val="none"/>
              </w:rPr>
            </w:pPr>
          </w:p>
        </w:tc>
        <w:tc>
          <w:tcPr>
            <w:tcW w:w="1346" w:type="dxa"/>
            <w:noWrap w:val="0"/>
            <w:vAlign w:val="top"/>
          </w:tcPr>
          <w:p w14:paraId="6AF77FE7">
            <w:pPr>
              <w:spacing w:line="360" w:lineRule="auto"/>
              <w:rPr>
                <w:rFonts w:hint="eastAsia" w:ascii="宋体" w:hAnsi="宋体" w:cs="宋体"/>
                <w:b/>
                <w:sz w:val="24"/>
                <w:szCs w:val="24"/>
                <w:highlight w:val="none"/>
              </w:rPr>
            </w:pPr>
          </w:p>
        </w:tc>
        <w:tc>
          <w:tcPr>
            <w:tcW w:w="1180" w:type="dxa"/>
            <w:noWrap w:val="0"/>
            <w:vAlign w:val="top"/>
          </w:tcPr>
          <w:p w14:paraId="2B2BA57F">
            <w:pPr>
              <w:spacing w:line="360" w:lineRule="auto"/>
              <w:rPr>
                <w:rFonts w:hint="eastAsia" w:ascii="宋体" w:hAnsi="宋体" w:cs="宋体"/>
                <w:b/>
                <w:sz w:val="24"/>
                <w:szCs w:val="24"/>
                <w:highlight w:val="none"/>
              </w:rPr>
            </w:pPr>
          </w:p>
        </w:tc>
        <w:tc>
          <w:tcPr>
            <w:tcW w:w="1136" w:type="dxa"/>
            <w:noWrap w:val="0"/>
            <w:vAlign w:val="top"/>
          </w:tcPr>
          <w:p w14:paraId="0CDE009B">
            <w:pPr>
              <w:spacing w:line="360" w:lineRule="auto"/>
              <w:rPr>
                <w:rFonts w:hint="eastAsia" w:ascii="宋体" w:hAnsi="宋体" w:cs="宋体"/>
                <w:b/>
                <w:sz w:val="24"/>
                <w:szCs w:val="24"/>
                <w:highlight w:val="none"/>
              </w:rPr>
            </w:pPr>
          </w:p>
        </w:tc>
        <w:tc>
          <w:tcPr>
            <w:tcW w:w="744" w:type="dxa"/>
            <w:noWrap w:val="0"/>
            <w:vAlign w:val="top"/>
          </w:tcPr>
          <w:p w14:paraId="7DB02CB3">
            <w:pPr>
              <w:spacing w:line="360" w:lineRule="auto"/>
              <w:rPr>
                <w:rFonts w:hint="eastAsia" w:ascii="宋体" w:hAnsi="宋体" w:cs="宋体"/>
                <w:b/>
                <w:sz w:val="24"/>
                <w:szCs w:val="24"/>
                <w:highlight w:val="none"/>
              </w:rPr>
            </w:pPr>
          </w:p>
        </w:tc>
        <w:tc>
          <w:tcPr>
            <w:tcW w:w="1694" w:type="dxa"/>
            <w:noWrap w:val="0"/>
            <w:vAlign w:val="top"/>
          </w:tcPr>
          <w:p w14:paraId="7740492A">
            <w:pPr>
              <w:spacing w:line="360" w:lineRule="auto"/>
              <w:rPr>
                <w:rFonts w:hint="eastAsia" w:ascii="宋体" w:hAnsi="宋体" w:cs="宋体"/>
                <w:b/>
                <w:sz w:val="24"/>
                <w:szCs w:val="24"/>
                <w:highlight w:val="none"/>
              </w:rPr>
            </w:pPr>
          </w:p>
        </w:tc>
        <w:tc>
          <w:tcPr>
            <w:tcW w:w="723" w:type="dxa"/>
            <w:noWrap w:val="0"/>
            <w:vAlign w:val="top"/>
          </w:tcPr>
          <w:p w14:paraId="64785AF8">
            <w:pPr>
              <w:spacing w:line="360" w:lineRule="auto"/>
              <w:rPr>
                <w:rFonts w:hint="eastAsia" w:ascii="宋体" w:hAnsi="宋体" w:cs="宋体"/>
                <w:b/>
                <w:sz w:val="24"/>
                <w:szCs w:val="24"/>
                <w:highlight w:val="none"/>
              </w:rPr>
            </w:pPr>
          </w:p>
        </w:tc>
      </w:tr>
      <w:tr w14:paraId="36A2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exact"/>
        </w:trPr>
        <w:tc>
          <w:tcPr>
            <w:tcW w:w="676" w:type="dxa"/>
            <w:tcBorders>
              <w:bottom w:val="nil"/>
            </w:tcBorders>
            <w:noWrap w:val="0"/>
            <w:vAlign w:val="top"/>
          </w:tcPr>
          <w:p w14:paraId="7A707C46">
            <w:pPr>
              <w:spacing w:line="360" w:lineRule="auto"/>
              <w:rPr>
                <w:rFonts w:hint="eastAsia" w:ascii="宋体" w:hAnsi="宋体" w:cs="宋体"/>
                <w:b/>
                <w:sz w:val="24"/>
                <w:szCs w:val="24"/>
                <w:highlight w:val="none"/>
              </w:rPr>
            </w:pPr>
          </w:p>
        </w:tc>
        <w:tc>
          <w:tcPr>
            <w:tcW w:w="1133" w:type="dxa"/>
            <w:tcBorders>
              <w:bottom w:val="nil"/>
            </w:tcBorders>
            <w:noWrap w:val="0"/>
            <w:vAlign w:val="center"/>
          </w:tcPr>
          <w:p w14:paraId="4591EB46">
            <w:pPr>
              <w:spacing w:line="360" w:lineRule="auto"/>
              <w:jc w:val="center"/>
              <w:rPr>
                <w:rFonts w:hint="eastAsia" w:ascii="宋体" w:hAnsi="宋体" w:cs="宋体"/>
                <w:b/>
                <w:sz w:val="24"/>
                <w:szCs w:val="24"/>
                <w:highlight w:val="none"/>
              </w:rPr>
            </w:pPr>
          </w:p>
        </w:tc>
        <w:tc>
          <w:tcPr>
            <w:tcW w:w="764" w:type="dxa"/>
            <w:noWrap w:val="0"/>
            <w:vAlign w:val="top"/>
          </w:tcPr>
          <w:p w14:paraId="12388858">
            <w:pPr>
              <w:spacing w:line="360" w:lineRule="auto"/>
              <w:rPr>
                <w:rFonts w:hint="eastAsia" w:ascii="宋体" w:hAnsi="宋体" w:cs="宋体"/>
                <w:b/>
                <w:sz w:val="24"/>
                <w:szCs w:val="24"/>
                <w:highlight w:val="none"/>
              </w:rPr>
            </w:pPr>
          </w:p>
        </w:tc>
        <w:tc>
          <w:tcPr>
            <w:tcW w:w="1346" w:type="dxa"/>
            <w:noWrap w:val="0"/>
            <w:vAlign w:val="top"/>
          </w:tcPr>
          <w:p w14:paraId="13FD5E22">
            <w:pPr>
              <w:spacing w:line="360" w:lineRule="auto"/>
              <w:rPr>
                <w:rFonts w:hint="eastAsia" w:ascii="宋体" w:hAnsi="宋体" w:cs="宋体"/>
                <w:b/>
                <w:sz w:val="24"/>
                <w:szCs w:val="24"/>
                <w:highlight w:val="none"/>
              </w:rPr>
            </w:pPr>
          </w:p>
        </w:tc>
        <w:tc>
          <w:tcPr>
            <w:tcW w:w="1180" w:type="dxa"/>
            <w:noWrap w:val="0"/>
            <w:vAlign w:val="top"/>
          </w:tcPr>
          <w:p w14:paraId="60EECED9">
            <w:pPr>
              <w:spacing w:line="360" w:lineRule="auto"/>
              <w:rPr>
                <w:rFonts w:hint="eastAsia" w:ascii="宋体" w:hAnsi="宋体" w:cs="宋体"/>
                <w:b/>
                <w:sz w:val="24"/>
                <w:szCs w:val="24"/>
                <w:highlight w:val="none"/>
              </w:rPr>
            </w:pPr>
          </w:p>
        </w:tc>
        <w:tc>
          <w:tcPr>
            <w:tcW w:w="1136" w:type="dxa"/>
            <w:noWrap w:val="0"/>
            <w:vAlign w:val="top"/>
          </w:tcPr>
          <w:p w14:paraId="6F2CD4F9">
            <w:pPr>
              <w:spacing w:line="360" w:lineRule="auto"/>
              <w:rPr>
                <w:rFonts w:hint="eastAsia" w:ascii="宋体" w:hAnsi="宋体" w:cs="宋体"/>
                <w:b/>
                <w:sz w:val="24"/>
                <w:szCs w:val="24"/>
                <w:highlight w:val="none"/>
              </w:rPr>
            </w:pPr>
          </w:p>
        </w:tc>
        <w:tc>
          <w:tcPr>
            <w:tcW w:w="744" w:type="dxa"/>
            <w:noWrap w:val="0"/>
            <w:vAlign w:val="top"/>
          </w:tcPr>
          <w:p w14:paraId="196AEFE4">
            <w:pPr>
              <w:spacing w:line="360" w:lineRule="auto"/>
              <w:rPr>
                <w:rFonts w:hint="eastAsia" w:ascii="宋体" w:hAnsi="宋体" w:cs="宋体"/>
                <w:b/>
                <w:sz w:val="24"/>
                <w:szCs w:val="24"/>
                <w:highlight w:val="none"/>
              </w:rPr>
            </w:pPr>
          </w:p>
        </w:tc>
        <w:tc>
          <w:tcPr>
            <w:tcW w:w="1694" w:type="dxa"/>
            <w:noWrap w:val="0"/>
            <w:vAlign w:val="top"/>
          </w:tcPr>
          <w:p w14:paraId="5CBB28A9">
            <w:pPr>
              <w:spacing w:line="360" w:lineRule="auto"/>
              <w:rPr>
                <w:rFonts w:hint="eastAsia" w:ascii="宋体" w:hAnsi="宋体" w:cs="宋体"/>
                <w:b/>
                <w:sz w:val="24"/>
                <w:szCs w:val="24"/>
                <w:highlight w:val="none"/>
              </w:rPr>
            </w:pPr>
          </w:p>
        </w:tc>
        <w:tc>
          <w:tcPr>
            <w:tcW w:w="723" w:type="dxa"/>
            <w:noWrap w:val="0"/>
            <w:vAlign w:val="top"/>
          </w:tcPr>
          <w:p w14:paraId="35086217">
            <w:pPr>
              <w:spacing w:line="360" w:lineRule="auto"/>
              <w:rPr>
                <w:rFonts w:hint="eastAsia" w:ascii="宋体" w:hAnsi="宋体" w:cs="宋体"/>
                <w:b/>
                <w:sz w:val="24"/>
                <w:szCs w:val="24"/>
                <w:highlight w:val="none"/>
              </w:rPr>
            </w:pPr>
          </w:p>
        </w:tc>
      </w:tr>
      <w:tr w14:paraId="2289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exact"/>
        </w:trPr>
        <w:tc>
          <w:tcPr>
            <w:tcW w:w="1809" w:type="dxa"/>
            <w:gridSpan w:val="2"/>
            <w:tcBorders>
              <w:top w:val="single" w:color="auto" w:sz="4" w:space="0"/>
            </w:tcBorders>
            <w:noWrap w:val="0"/>
            <w:vAlign w:val="top"/>
          </w:tcPr>
          <w:p w14:paraId="5078A03B">
            <w:pPr>
              <w:spacing w:line="360" w:lineRule="auto"/>
              <w:rPr>
                <w:rFonts w:hint="eastAsia" w:ascii="宋体" w:hAnsi="宋体" w:cs="宋体"/>
                <w:bCs/>
                <w:sz w:val="24"/>
                <w:szCs w:val="24"/>
                <w:highlight w:val="none"/>
              </w:rPr>
            </w:pPr>
            <w:r>
              <w:rPr>
                <w:rFonts w:hint="eastAsia" w:ascii="宋体" w:hAnsi="宋体" w:cs="宋体"/>
                <w:bCs/>
                <w:sz w:val="24"/>
                <w:szCs w:val="24"/>
                <w:highlight w:val="none"/>
              </w:rPr>
              <w:t>投标报价</w:t>
            </w:r>
          </w:p>
        </w:tc>
        <w:tc>
          <w:tcPr>
            <w:tcW w:w="7587" w:type="dxa"/>
            <w:gridSpan w:val="7"/>
            <w:tcBorders>
              <w:top w:val="single" w:color="auto" w:sz="4" w:space="0"/>
            </w:tcBorders>
            <w:noWrap w:val="0"/>
            <w:vAlign w:val="top"/>
          </w:tcPr>
          <w:p w14:paraId="147F7BBC">
            <w:pPr>
              <w:spacing w:line="360" w:lineRule="auto"/>
              <w:rPr>
                <w:rFonts w:hint="eastAsia" w:ascii="宋体" w:hAnsi="宋体" w:cs="宋体"/>
                <w:bCs/>
                <w:sz w:val="24"/>
                <w:szCs w:val="24"/>
                <w:highlight w:val="none"/>
              </w:rPr>
            </w:pPr>
          </w:p>
        </w:tc>
      </w:tr>
    </w:tbl>
    <w:p w14:paraId="3EA2A2B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投标单位全称（公章）：</w:t>
      </w:r>
    </w:p>
    <w:p w14:paraId="61D27B6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单位负责人或授权代理人（签字）：</w:t>
      </w:r>
    </w:p>
    <w:p w14:paraId="7A58AC7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时间：     年  月  日</w:t>
      </w:r>
    </w:p>
    <w:p w14:paraId="7EE3E384">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说明：</w:t>
      </w:r>
    </w:p>
    <w:p w14:paraId="699A3772">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1.与本项目有关的各种费用均应包含在总报价中。</w:t>
      </w:r>
    </w:p>
    <w:p w14:paraId="517906C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2.如果投标人提供价格折扣优惠，应在表中明确填列。</w:t>
      </w:r>
    </w:p>
    <w:p w14:paraId="3447C67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3.要说明的问题可另附页说明并签字和加盖公章。</w:t>
      </w:r>
    </w:p>
    <w:p w14:paraId="65DA64C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4.此表可根据需要自行拉长加宽。</w:t>
      </w:r>
    </w:p>
    <w:p w14:paraId="76A78296">
      <w:pPr>
        <w:spacing w:line="360" w:lineRule="auto"/>
        <w:outlineLvl w:val="0"/>
        <w:rPr>
          <w:rFonts w:hint="eastAsia" w:ascii="仿宋_GB2312" w:hAnsi="宋体" w:eastAsia="仿宋_GB2312"/>
          <w:b/>
          <w:sz w:val="24"/>
          <w:szCs w:val="24"/>
          <w:highlight w:val="none"/>
        </w:rPr>
        <w:sectPr>
          <w:pgSz w:w="11906" w:h="16838"/>
          <w:pgMar w:top="1361" w:right="1304" w:bottom="1247" w:left="1304" w:header="680" w:footer="680" w:gutter="0"/>
          <w:pgNumType w:fmt="decimal"/>
          <w:cols w:space="720" w:num="1"/>
          <w:docGrid w:linePitch="312" w:charSpace="0"/>
        </w:sectPr>
      </w:pPr>
    </w:p>
    <w:p w14:paraId="5EEF0F28">
      <w:pPr>
        <w:rPr>
          <w:rFonts w:hint="eastAsia" w:ascii="宋体" w:hAnsi="宋体" w:eastAsia="宋体" w:cs="宋体"/>
          <w:b/>
          <w:color w:val="auto"/>
          <w:sz w:val="32"/>
          <w:szCs w:val="32"/>
          <w:highlight w:val="yellow"/>
        </w:rPr>
      </w:pPr>
      <w:r>
        <w:rPr>
          <w:rFonts w:hint="eastAsia" w:ascii="宋体" w:hAnsi="宋体" w:cs="宋体"/>
          <w:color w:val="auto"/>
          <w:sz w:val="24"/>
          <w:szCs w:val="24"/>
          <w:highlight w:val="yellow"/>
          <w:lang w:val="en-US" w:eastAsia="zh-CN"/>
        </w:rPr>
        <w:t xml:space="preserve"> </w:t>
      </w:r>
    </w:p>
    <w:p w14:paraId="714D6966">
      <w:pPr>
        <w:spacing w:line="360" w:lineRule="auto"/>
        <w:jc w:val="center"/>
        <w:rPr>
          <w:rFonts w:hint="eastAsia" w:ascii="宋体" w:hAnsi="宋体" w:eastAsia="宋体" w:cs="宋体"/>
          <w:b/>
          <w:color w:val="auto"/>
          <w:sz w:val="36"/>
          <w:szCs w:val="36"/>
          <w:highlight w:val="yellow"/>
        </w:rPr>
      </w:pPr>
    </w:p>
    <w:p w14:paraId="5B9ED310">
      <w:pPr>
        <w:spacing w:line="360" w:lineRule="auto"/>
        <w:jc w:val="center"/>
        <w:rPr>
          <w:rFonts w:hint="eastAsia" w:ascii="宋体" w:hAnsi="宋体" w:eastAsia="宋体" w:cs="宋体"/>
          <w:b/>
          <w:color w:val="auto"/>
          <w:sz w:val="36"/>
          <w:szCs w:val="36"/>
          <w:highlight w:val="none"/>
        </w:rPr>
      </w:pPr>
      <w:r>
        <w:rPr>
          <w:rFonts w:hint="eastAsia" w:ascii="宋体" w:hAnsi="宋体" w:cs="宋体"/>
          <w:b/>
          <w:color w:val="auto"/>
          <w:sz w:val="36"/>
          <w:szCs w:val="36"/>
          <w:highlight w:val="none"/>
          <w:lang w:val="en-US" w:eastAsia="zh-CN"/>
        </w:rPr>
        <w:t>四</w:t>
      </w:r>
      <w:r>
        <w:rPr>
          <w:rFonts w:hint="eastAsia" w:ascii="宋体" w:hAnsi="宋体" w:eastAsia="宋体" w:cs="宋体"/>
          <w:b/>
          <w:color w:val="auto"/>
          <w:sz w:val="36"/>
          <w:szCs w:val="36"/>
          <w:highlight w:val="none"/>
        </w:rPr>
        <w:t>、法定代表人身份证明书</w:t>
      </w:r>
    </w:p>
    <w:p w14:paraId="103D296D">
      <w:pPr>
        <w:keepNext w:val="0"/>
        <w:keepLines w:val="0"/>
        <w:pageBreakBefore w:val="0"/>
        <w:kinsoku/>
        <w:wordWrap/>
        <w:overflowPunct/>
        <w:topLinePunct w:val="0"/>
        <w:autoSpaceDE/>
        <w:autoSpaceDN/>
        <w:bidi w:val="0"/>
        <w:adjustRightInd/>
        <w:snapToGrid/>
        <w:spacing w:before="240" w:beforeLines="100" w:after="120" w:afterLines="50"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致：</w:t>
      </w:r>
      <w:r>
        <w:rPr>
          <w:rFonts w:hint="eastAsia" w:ascii="宋体" w:hAnsi="宋体" w:eastAsia="宋体" w:cs="宋体"/>
          <w:b/>
          <w:color w:val="auto"/>
          <w:sz w:val="24"/>
          <w:szCs w:val="24"/>
          <w:highlight w:val="none"/>
          <w:u w:val="single"/>
        </w:rPr>
        <w:t>(采购代理机构名称)</w:t>
      </w:r>
    </w:p>
    <w:tbl>
      <w:tblPr>
        <w:tblStyle w:val="45"/>
        <w:tblW w:w="8528" w:type="dxa"/>
        <w:jc w:val="center"/>
        <w:tblLayout w:type="fixed"/>
        <w:tblCellMar>
          <w:top w:w="0" w:type="dxa"/>
          <w:left w:w="108" w:type="dxa"/>
          <w:bottom w:w="0" w:type="dxa"/>
          <w:right w:w="108" w:type="dxa"/>
        </w:tblCellMar>
      </w:tblPr>
      <w:tblGrid>
        <w:gridCol w:w="2802"/>
        <w:gridCol w:w="1462"/>
        <w:gridCol w:w="4264"/>
      </w:tblGrid>
      <w:tr w14:paraId="6938FE73">
        <w:tblPrEx>
          <w:tblCellMar>
            <w:top w:w="0" w:type="dxa"/>
            <w:left w:w="108" w:type="dxa"/>
            <w:bottom w:w="0" w:type="dxa"/>
            <w:right w:w="108" w:type="dxa"/>
          </w:tblCellMar>
        </w:tblPrEx>
        <w:trPr>
          <w:jc w:val="center"/>
        </w:trPr>
        <w:tc>
          <w:tcPr>
            <w:tcW w:w="8528" w:type="dxa"/>
            <w:gridSpan w:val="3"/>
            <w:shd w:val="clear" w:color="auto" w:fill="auto"/>
          </w:tcPr>
          <w:p w14:paraId="193B3C61">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同志，现任我单位职务，为法定代表人，特此证明。</w:t>
            </w:r>
          </w:p>
        </w:tc>
      </w:tr>
      <w:tr w14:paraId="12519930">
        <w:tblPrEx>
          <w:tblCellMar>
            <w:top w:w="0" w:type="dxa"/>
            <w:left w:w="108" w:type="dxa"/>
            <w:bottom w:w="0" w:type="dxa"/>
            <w:right w:w="108" w:type="dxa"/>
          </w:tblCellMar>
        </w:tblPrEx>
        <w:trPr>
          <w:jc w:val="center"/>
        </w:trPr>
        <w:tc>
          <w:tcPr>
            <w:tcW w:w="8528" w:type="dxa"/>
            <w:gridSpan w:val="3"/>
            <w:shd w:val="clear" w:color="auto" w:fill="auto"/>
          </w:tcPr>
          <w:p w14:paraId="611583BD">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tc>
      </w:tr>
      <w:tr w14:paraId="32A4784A">
        <w:tblPrEx>
          <w:tblCellMar>
            <w:top w:w="0" w:type="dxa"/>
            <w:left w:w="108" w:type="dxa"/>
            <w:bottom w:w="0" w:type="dxa"/>
            <w:right w:w="108" w:type="dxa"/>
          </w:tblCellMar>
        </w:tblPrEx>
        <w:trPr>
          <w:jc w:val="center"/>
        </w:trPr>
        <w:tc>
          <w:tcPr>
            <w:tcW w:w="8528" w:type="dxa"/>
            <w:gridSpan w:val="3"/>
            <w:shd w:val="clear" w:color="auto" w:fill="auto"/>
          </w:tcPr>
          <w:p w14:paraId="456EB330">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r>
      <w:tr w14:paraId="1E1CE0A0">
        <w:tblPrEx>
          <w:tblCellMar>
            <w:top w:w="0" w:type="dxa"/>
            <w:left w:w="108" w:type="dxa"/>
            <w:bottom w:w="0" w:type="dxa"/>
            <w:right w:w="108" w:type="dxa"/>
          </w:tblCellMar>
        </w:tblPrEx>
        <w:trPr>
          <w:jc w:val="center"/>
        </w:trPr>
        <w:tc>
          <w:tcPr>
            <w:tcW w:w="4264" w:type="dxa"/>
            <w:gridSpan w:val="2"/>
            <w:shd w:val="clear" w:color="auto" w:fill="auto"/>
          </w:tcPr>
          <w:p w14:paraId="2905B52E">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代表人姓名：</w:t>
            </w:r>
          </w:p>
        </w:tc>
        <w:tc>
          <w:tcPr>
            <w:tcW w:w="4264" w:type="dxa"/>
            <w:shd w:val="clear" w:color="auto" w:fill="auto"/>
          </w:tcPr>
          <w:p w14:paraId="7DB32564">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代表人联系电话：</w:t>
            </w:r>
          </w:p>
        </w:tc>
      </w:tr>
      <w:tr w14:paraId="70BBDECA">
        <w:tblPrEx>
          <w:tblCellMar>
            <w:top w:w="0" w:type="dxa"/>
            <w:left w:w="108" w:type="dxa"/>
            <w:bottom w:w="0" w:type="dxa"/>
            <w:right w:w="108" w:type="dxa"/>
          </w:tblCellMar>
        </w:tblPrEx>
        <w:trPr>
          <w:jc w:val="center"/>
        </w:trPr>
        <w:tc>
          <w:tcPr>
            <w:tcW w:w="4264" w:type="dxa"/>
            <w:gridSpan w:val="2"/>
            <w:shd w:val="clear" w:color="auto" w:fill="auto"/>
          </w:tcPr>
          <w:p w14:paraId="376DEA59">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代表人性别：</w:t>
            </w:r>
          </w:p>
        </w:tc>
        <w:tc>
          <w:tcPr>
            <w:tcW w:w="4264" w:type="dxa"/>
            <w:shd w:val="clear" w:color="auto" w:fill="auto"/>
          </w:tcPr>
          <w:p w14:paraId="043D2873">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代表人年龄：</w:t>
            </w:r>
          </w:p>
        </w:tc>
      </w:tr>
      <w:tr w14:paraId="625F38A4">
        <w:tblPrEx>
          <w:tblCellMar>
            <w:top w:w="0" w:type="dxa"/>
            <w:left w:w="108" w:type="dxa"/>
            <w:bottom w:w="0" w:type="dxa"/>
            <w:right w:w="108" w:type="dxa"/>
          </w:tblCellMar>
        </w:tblPrEx>
        <w:trPr>
          <w:jc w:val="center"/>
        </w:trPr>
        <w:tc>
          <w:tcPr>
            <w:tcW w:w="4264" w:type="dxa"/>
            <w:gridSpan w:val="2"/>
            <w:shd w:val="clear" w:color="auto" w:fill="auto"/>
          </w:tcPr>
          <w:p w14:paraId="4F2B6753">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代表人身份证号码：</w:t>
            </w:r>
          </w:p>
        </w:tc>
        <w:tc>
          <w:tcPr>
            <w:tcW w:w="4264" w:type="dxa"/>
            <w:shd w:val="clear" w:color="auto" w:fill="auto"/>
          </w:tcPr>
          <w:p w14:paraId="30E2A395">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营业执照或事业单位法人证书号码：</w:t>
            </w:r>
          </w:p>
        </w:tc>
      </w:tr>
      <w:tr w14:paraId="46985F95">
        <w:tblPrEx>
          <w:tblCellMar>
            <w:top w:w="0" w:type="dxa"/>
            <w:left w:w="108" w:type="dxa"/>
            <w:bottom w:w="0" w:type="dxa"/>
            <w:right w:w="108" w:type="dxa"/>
          </w:tblCellMar>
        </w:tblPrEx>
        <w:trPr>
          <w:jc w:val="center"/>
        </w:trPr>
        <w:tc>
          <w:tcPr>
            <w:tcW w:w="4264" w:type="dxa"/>
            <w:gridSpan w:val="2"/>
            <w:shd w:val="clear" w:color="auto" w:fill="auto"/>
          </w:tcPr>
          <w:p w14:paraId="76967B15">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p>
        </w:tc>
        <w:tc>
          <w:tcPr>
            <w:tcW w:w="4264" w:type="dxa"/>
            <w:shd w:val="clear" w:color="auto" w:fill="auto"/>
          </w:tcPr>
          <w:p w14:paraId="648F8A3E">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p>
        </w:tc>
      </w:tr>
      <w:tr w14:paraId="370F51F5">
        <w:tblPrEx>
          <w:tblCellMar>
            <w:top w:w="0" w:type="dxa"/>
            <w:left w:w="108" w:type="dxa"/>
            <w:bottom w:w="0" w:type="dxa"/>
            <w:right w:w="108" w:type="dxa"/>
          </w:tblCellMar>
        </w:tblPrEx>
        <w:trPr>
          <w:jc w:val="center"/>
        </w:trPr>
        <w:tc>
          <w:tcPr>
            <w:tcW w:w="8528" w:type="dxa"/>
            <w:gridSpan w:val="3"/>
            <w:shd w:val="clear" w:color="auto" w:fill="auto"/>
          </w:tcPr>
          <w:p w14:paraId="4987F711">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主营（产）：</w:t>
            </w:r>
          </w:p>
        </w:tc>
      </w:tr>
      <w:tr w14:paraId="4832D8CC">
        <w:tblPrEx>
          <w:tblCellMar>
            <w:top w:w="0" w:type="dxa"/>
            <w:left w:w="108" w:type="dxa"/>
            <w:bottom w:w="0" w:type="dxa"/>
            <w:right w:w="108" w:type="dxa"/>
          </w:tblCellMar>
        </w:tblPrEx>
        <w:trPr>
          <w:jc w:val="center"/>
        </w:trPr>
        <w:tc>
          <w:tcPr>
            <w:tcW w:w="8528" w:type="dxa"/>
            <w:gridSpan w:val="3"/>
            <w:shd w:val="clear" w:color="auto" w:fill="auto"/>
          </w:tcPr>
          <w:p w14:paraId="40A02654">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兼营（产）：</w:t>
            </w:r>
          </w:p>
        </w:tc>
      </w:tr>
      <w:tr w14:paraId="79414FFC">
        <w:tblPrEx>
          <w:tblCellMar>
            <w:top w:w="0" w:type="dxa"/>
            <w:left w:w="108" w:type="dxa"/>
            <w:bottom w:w="0" w:type="dxa"/>
            <w:right w:w="108" w:type="dxa"/>
          </w:tblCellMar>
        </w:tblPrEx>
        <w:trPr>
          <w:trHeight w:val="461" w:hRule="atLeast"/>
          <w:jc w:val="center"/>
        </w:trPr>
        <w:tc>
          <w:tcPr>
            <w:tcW w:w="8528" w:type="dxa"/>
            <w:gridSpan w:val="3"/>
            <w:shd w:val="clear" w:color="auto" w:fill="auto"/>
            <w:vAlign w:val="center"/>
          </w:tcPr>
          <w:p w14:paraId="53FCE75F">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tc>
      </w:tr>
      <w:tr w14:paraId="716DAC70">
        <w:tblPrEx>
          <w:tblCellMar>
            <w:top w:w="0" w:type="dxa"/>
            <w:left w:w="108" w:type="dxa"/>
            <w:bottom w:w="0" w:type="dxa"/>
            <w:right w:w="108" w:type="dxa"/>
          </w:tblCellMar>
        </w:tblPrEx>
        <w:trPr>
          <w:jc w:val="center"/>
        </w:trPr>
        <w:tc>
          <w:tcPr>
            <w:tcW w:w="2802" w:type="dxa"/>
            <w:shd w:val="clear" w:color="auto" w:fill="auto"/>
          </w:tcPr>
          <w:p w14:paraId="7DB6CA56">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p>
        </w:tc>
        <w:tc>
          <w:tcPr>
            <w:tcW w:w="5726" w:type="dxa"/>
            <w:gridSpan w:val="2"/>
            <w:shd w:val="clear" w:color="auto" w:fill="auto"/>
          </w:tcPr>
          <w:p w14:paraId="7DDC597F">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供应商名称（加盖公章）：</w:t>
            </w:r>
          </w:p>
        </w:tc>
      </w:tr>
      <w:tr w14:paraId="5C2F706A">
        <w:tblPrEx>
          <w:tblCellMar>
            <w:top w:w="0" w:type="dxa"/>
            <w:left w:w="108" w:type="dxa"/>
            <w:bottom w:w="0" w:type="dxa"/>
            <w:right w:w="108" w:type="dxa"/>
          </w:tblCellMar>
        </w:tblPrEx>
        <w:trPr>
          <w:jc w:val="center"/>
        </w:trPr>
        <w:tc>
          <w:tcPr>
            <w:tcW w:w="2802" w:type="dxa"/>
            <w:shd w:val="clear" w:color="auto" w:fill="auto"/>
          </w:tcPr>
          <w:p w14:paraId="752787EC">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p>
        </w:tc>
        <w:tc>
          <w:tcPr>
            <w:tcW w:w="5726" w:type="dxa"/>
            <w:gridSpan w:val="2"/>
            <w:shd w:val="clear" w:color="auto" w:fill="auto"/>
          </w:tcPr>
          <w:p w14:paraId="3B33AB04">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法定代表人（签名或盖章）：</w:t>
            </w:r>
          </w:p>
        </w:tc>
      </w:tr>
      <w:tr w14:paraId="73E27DFD">
        <w:tblPrEx>
          <w:tblCellMar>
            <w:top w:w="0" w:type="dxa"/>
            <w:left w:w="108" w:type="dxa"/>
            <w:bottom w:w="0" w:type="dxa"/>
            <w:right w:w="108" w:type="dxa"/>
          </w:tblCellMar>
        </w:tblPrEx>
        <w:trPr>
          <w:jc w:val="center"/>
        </w:trPr>
        <w:tc>
          <w:tcPr>
            <w:tcW w:w="2802" w:type="dxa"/>
            <w:shd w:val="clear" w:color="auto" w:fill="auto"/>
          </w:tcPr>
          <w:p w14:paraId="5C175C61">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p>
        </w:tc>
        <w:tc>
          <w:tcPr>
            <w:tcW w:w="5726" w:type="dxa"/>
            <w:gridSpan w:val="2"/>
            <w:shd w:val="clear" w:color="auto" w:fill="auto"/>
          </w:tcPr>
          <w:p w14:paraId="7AB95AE1">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tc>
      </w:tr>
    </w:tbl>
    <w:p w14:paraId="79431E4A">
      <w:pPr>
        <w:keepNext w:val="0"/>
        <w:keepLines w:val="0"/>
        <w:pageBreakBefore w:val="0"/>
        <w:kinsoku/>
        <w:wordWrap/>
        <w:overflowPunct/>
        <w:topLinePunct w:val="0"/>
        <w:autoSpaceDE/>
        <w:autoSpaceDN/>
        <w:bidi w:val="0"/>
        <w:adjustRightInd/>
        <w:snapToGrid/>
        <w:spacing w:before="120" w:beforeLines="50" w:after="72" w:afterLines="30"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须附：法定代表人有效期内身份证复印件</w:t>
      </w:r>
    </w:p>
    <w:tbl>
      <w:tblPr>
        <w:tblStyle w:val="45"/>
        <w:tblW w:w="8941"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677"/>
        <w:gridCol w:w="4264"/>
      </w:tblGrid>
      <w:tr w14:paraId="4A2C88A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833" w:hRule="atLeast"/>
          <w:jc w:val="center"/>
        </w:trPr>
        <w:tc>
          <w:tcPr>
            <w:tcW w:w="4677" w:type="dxa"/>
            <w:vAlign w:val="center"/>
          </w:tcPr>
          <w:p w14:paraId="2D86171A">
            <w:pPr>
              <w:pStyle w:val="136"/>
              <w:keepNext w:val="0"/>
              <w:keepLines w:val="0"/>
              <w:pageBreakBefore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正面</w:t>
            </w:r>
          </w:p>
        </w:tc>
        <w:tc>
          <w:tcPr>
            <w:tcW w:w="4264" w:type="dxa"/>
            <w:vAlign w:val="center"/>
          </w:tcPr>
          <w:p w14:paraId="636BC65C">
            <w:pPr>
              <w:pStyle w:val="136"/>
              <w:keepNext w:val="0"/>
              <w:keepLines w:val="0"/>
              <w:pageBreakBefore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背面</w:t>
            </w:r>
          </w:p>
        </w:tc>
      </w:tr>
    </w:tbl>
    <w:p w14:paraId="43543DA0">
      <w:pPr>
        <w:keepNext w:val="0"/>
        <w:keepLines w:val="0"/>
        <w:pageBreakBefore w:val="0"/>
        <w:kinsoku/>
        <w:wordWrap/>
        <w:overflowPunct/>
        <w:topLinePunct w:val="0"/>
        <w:autoSpaceDE/>
        <w:autoSpaceDN/>
        <w:bidi w:val="0"/>
        <w:adjustRightInd/>
        <w:snapToGrid/>
        <w:spacing w:before="120" w:beforeLines="50" w:after="120" w:afterLines="50" w:line="288" w:lineRule="auto"/>
        <w:jc w:val="center"/>
        <w:textAlignment w:val="auto"/>
        <w:rPr>
          <w:rFonts w:hint="eastAsia" w:ascii="宋体" w:hAnsi="宋体" w:eastAsia="宋体" w:cs="宋体"/>
          <w:b/>
          <w:color w:val="auto"/>
          <w:spacing w:val="20"/>
          <w:sz w:val="24"/>
          <w:szCs w:val="24"/>
          <w:highlight w:val="none"/>
        </w:rPr>
      </w:pPr>
    </w:p>
    <w:p w14:paraId="07A390B3">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color w:val="auto"/>
          <w:spacing w:val="20"/>
          <w:sz w:val="30"/>
          <w:szCs w:val="30"/>
          <w:highlight w:val="none"/>
        </w:rPr>
      </w:pPr>
      <w:r>
        <w:rPr>
          <w:rFonts w:hint="eastAsia" w:ascii="宋体" w:hAnsi="宋体" w:eastAsia="宋体" w:cs="宋体"/>
          <w:b/>
          <w:color w:val="auto"/>
          <w:spacing w:val="20"/>
          <w:sz w:val="24"/>
          <w:szCs w:val="24"/>
          <w:highlight w:val="none"/>
        </w:rPr>
        <w:br w:type="page"/>
      </w:r>
    </w:p>
    <w:p w14:paraId="2213BD4D">
      <w:pPr>
        <w:spacing w:line="360" w:lineRule="auto"/>
        <w:jc w:val="center"/>
        <w:rPr>
          <w:rFonts w:hint="eastAsia" w:ascii="宋体" w:hAnsi="宋体" w:eastAsia="宋体" w:cs="宋体"/>
          <w:b/>
          <w:color w:val="auto"/>
          <w:sz w:val="36"/>
          <w:szCs w:val="36"/>
          <w:highlight w:val="none"/>
        </w:rPr>
      </w:pPr>
    </w:p>
    <w:p w14:paraId="1BA3B15D">
      <w:pPr>
        <w:spacing w:line="360" w:lineRule="auto"/>
        <w:jc w:val="center"/>
        <w:rPr>
          <w:rFonts w:hint="eastAsia" w:ascii="宋体" w:hAnsi="宋体" w:eastAsia="宋体" w:cs="宋体"/>
          <w:b/>
          <w:color w:val="auto"/>
          <w:sz w:val="36"/>
          <w:szCs w:val="36"/>
          <w:highlight w:val="none"/>
        </w:rPr>
      </w:pPr>
      <w:r>
        <w:rPr>
          <w:rFonts w:hint="eastAsia" w:ascii="宋体" w:hAnsi="宋体" w:cs="宋体"/>
          <w:b/>
          <w:color w:val="auto"/>
          <w:sz w:val="36"/>
          <w:szCs w:val="36"/>
          <w:highlight w:val="none"/>
          <w:lang w:val="en-US" w:eastAsia="zh-CN"/>
        </w:rPr>
        <w:t>五</w:t>
      </w:r>
      <w:r>
        <w:rPr>
          <w:rFonts w:hint="eastAsia" w:ascii="宋体" w:hAnsi="宋体" w:eastAsia="宋体" w:cs="宋体"/>
          <w:b/>
          <w:color w:val="auto"/>
          <w:sz w:val="36"/>
          <w:szCs w:val="36"/>
          <w:highlight w:val="none"/>
        </w:rPr>
        <w:t>、法定代表人授权委托书</w:t>
      </w:r>
    </w:p>
    <w:p w14:paraId="70F3FB40">
      <w:pPr>
        <w:spacing w:line="360" w:lineRule="auto"/>
        <w:jc w:val="center"/>
        <w:rPr>
          <w:rFonts w:hint="eastAsia" w:ascii="宋体" w:hAnsi="宋体" w:eastAsia="宋体" w:cs="宋体"/>
          <w:b/>
          <w:color w:val="auto"/>
          <w:sz w:val="36"/>
          <w:szCs w:val="36"/>
          <w:highlight w:val="none"/>
          <w:lang w:eastAsia="zh-CN"/>
        </w:rPr>
      </w:pPr>
      <w:r>
        <w:rPr>
          <w:rFonts w:hint="eastAsia" w:ascii="宋体" w:hAnsi="宋体" w:cs="宋体"/>
          <w:b w:val="0"/>
          <w:bCs/>
          <w:i/>
          <w:iCs/>
          <w:color w:val="auto"/>
          <w:sz w:val="30"/>
          <w:szCs w:val="30"/>
          <w:highlight w:val="none"/>
          <w:u w:val="single"/>
          <w:lang w:eastAsia="zh-CN"/>
        </w:rPr>
        <w:t>（</w:t>
      </w:r>
      <w:r>
        <w:rPr>
          <w:rFonts w:hint="eastAsia" w:ascii="宋体" w:hAnsi="宋体" w:cs="宋体"/>
          <w:b w:val="0"/>
          <w:bCs/>
          <w:i/>
          <w:iCs/>
          <w:color w:val="auto"/>
          <w:sz w:val="30"/>
          <w:szCs w:val="30"/>
          <w:highlight w:val="none"/>
          <w:u w:val="single"/>
          <w:lang w:val="en-US" w:eastAsia="zh-CN"/>
        </w:rPr>
        <w:t>法定代表人参与投标无须此项内容</w:t>
      </w:r>
      <w:r>
        <w:rPr>
          <w:rFonts w:hint="eastAsia" w:ascii="宋体" w:hAnsi="宋体" w:cs="宋体"/>
          <w:b w:val="0"/>
          <w:bCs/>
          <w:i/>
          <w:iCs/>
          <w:color w:val="auto"/>
          <w:sz w:val="30"/>
          <w:szCs w:val="30"/>
          <w:highlight w:val="none"/>
          <w:u w:val="single"/>
          <w:lang w:eastAsia="zh-CN"/>
        </w:rPr>
        <w:t>）</w:t>
      </w:r>
    </w:p>
    <w:p w14:paraId="5DE91DF6">
      <w:pPr>
        <w:keepNext w:val="0"/>
        <w:keepLines w:val="0"/>
        <w:pageBreakBefore w:val="0"/>
        <w:kinsoku/>
        <w:wordWrap/>
        <w:overflowPunct/>
        <w:topLinePunct w:val="0"/>
        <w:autoSpaceDE/>
        <w:autoSpaceDN/>
        <w:bidi w:val="0"/>
        <w:adjustRightInd/>
        <w:snapToGrid/>
        <w:spacing w:before="360" w:beforeLines="150" w:after="240" w:afterLines="100"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致：</w:t>
      </w:r>
      <w:r>
        <w:rPr>
          <w:rFonts w:hint="eastAsia" w:ascii="宋体" w:hAnsi="宋体" w:eastAsia="宋体" w:cs="宋体"/>
          <w:b/>
          <w:color w:val="auto"/>
          <w:sz w:val="24"/>
          <w:szCs w:val="24"/>
          <w:highlight w:val="none"/>
          <w:u w:val="single"/>
        </w:rPr>
        <w:t>(采购代理机构名称)</w:t>
      </w:r>
    </w:p>
    <w:p w14:paraId="0BADB2F5">
      <w:pPr>
        <w:pStyle w:val="136"/>
        <w:keepNext w:val="0"/>
        <w:keepLines w:val="0"/>
        <w:pageBreakBefore w:val="0"/>
        <w:kinsoku/>
        <w:wordWrap/>
        <w:overflowPunct/>
        <w:topLinePunct w:val="0"/>
        <w:autoSpaceDE/>
        <w:autoSpaceDN/>
        <w:bidi w:val="0"/>
        <w:adjustRightInd/>
        <w:snapToGrid/>
        <w:spacing w:line="288" w:lineRule="auto"/>
        <w:ind w:firstLine="45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（供应商名称）    </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single"/>
        </w:rPr>
        <w:t xml:space="preserve"> （姓名） </w:t>
      </w:r>
      <w:r>
        <w:rPr>
          <w:rFonts w:hint="eastAsia" w:ascii="宋体" w:hAnsi="宋体" w:eastAsia="宋体" w:cs="宋体"/>
          <w:color w:val="auto"/>
          <w:sz w:val="24"/>
          <w:szCs w:val="24"/>
          <w:highlight w:val="none"/>
        </w:rPr>
        <w:t>为我方合法代理人。代理人根据授权，以我方名义签署、澄清、说明、补正、递交、撤回、修改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项目</w:t>
      </w:r>
      <w:r>
        <w:rPr>
          <w:rFonts w:hint="eastAsia" w:ascii="宋体" w:hAnsi="宋体" w:eastAsia="宋体" w:cs="宋体"/>
          <w:color w:val="auto"/>
          <w:sz w:val="24"/>
          <w:szCs w:val="24"/>
          <w:highlight w:val="none"/>
          <w:u w:val="single"/>
        </w:rPr>
        <w:t xml:space="preserve">名称）      </w:t>
      </w:r>
      <w:r>
        <w:rPr>
          <w:rFonts w:hint="eastAsia" w:ascii="宋体" w:hAnsi="宋体" w:eastAsia="宋体" w:cs="宋体"/>
          <w:color w:val="auto"/>
          <w:sz w:val="24"/>
          <w:szCs w:val="24"/>
          <w:highlight w:val="none"/>
        </w:rPr>
        <w:t>（</w:t>
      </w:r>
      <w:r>
        <w:rPr>
          <w:rFonts w:hint="eastAsia" w:asci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）投标文件、签订合同和处理有关事宜，其法律后果由我方承担。</w:t>
      </w:r>
    </w:p>
    <w:p w14:paraId="1B59B616">
      <w:pPr>
        <w:pStyle w:val="136"/>
        <w:keepNext w:val="0"/>
        <w:keepLines w:val="0"/>
        <w:pageBreakBefore w:val="0"/>
        <w:kinsoku/>
        <w:wordWrap/>
        <w:overflowPunct/>
        <w:topLinePunct w:val="0"/>
        <w:autoSpaceDE/>
        <w:autoSpaceDN/>
        <w:bidi w:val="0"/>
        <w:adjustRightInd/>
        <w:snapToGrid/>
        <w:spacing w:line="288" w:lineRule="auto"/>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本委托书于</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日签字生效，特此证明。</w:t>
      </w:r>
    </w:p>
    <w:p w14:paraId="3A1B1A6E">
      <w:pPr>
        <w:pStyle w:val="136"/>
        <w:keepNext w:val="0"/>
        <w:keepLines w:val="0"/>
        <w:pageBreakBefore w:val="0"/>
        <w:kinsoku/>
        <w:wordWrap/>
        <w:overflowPunct/>
        <w:topLinePunct w:val="0"/>
        <w:autoSpaceDE/>
        <w:autoSpaceDN/>
        <w:bidi w:val="0"/>
        <w:adjustRightInd/>
        <w:snapToGrid/>
        <w:spacing w:line="288" w:lineRule="auto"/>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被授权人无转委托权。</w:t>
      </w:r>
    </w:p>
    <w:p w14:paraId="102932B5">
      <w:pPr>
        <w:pStyle w:val="136"/>
        <w:keepNext w:val="0"/>
        <w:keepLines w:val="0"/>
        <w:pageBreakBefore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color w:val="auto"/>
          <w:sz w:val="24"/>
          <w:szCs w:val="24"/>
          <w:highlight w:val="none"/>
        </w:rPr>
      </w:pPr>
    </w:p>
    <w:p w14:paraId="77D86B5B">
      <w:pPr>
        <w:pStyle w:val="136"/>
        <w:keepNext w:val="0"/>
        <w:keepLines w:val="0"/>
        <w:pageBreakBefore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color w:val="auto"/>
          <w:sz w:val="24"/>
          <w:szCs w:val="24"/>
          <w:highlight w:val="none"/>
        </w:rPr>
      </w:pPr>
    </w:p>
    <w:tbl>
      <w:tblPr>
        <w:tblStyle w:val="45"/>
        <w:tblW w:w="8729" w:type="dxa"/>
        <w:tblInd w:w="0" w:type="dxa"/>
        <w:tblLayout w:type="fixed"/>
        <w:tblCellMar>
          <w:top w:w="0" w:type="dxa"/>
          <w:left w:w="108" w:type="dxa"/>
          <w:bottom w:w="0" w:type="dxa"/>
          <w:right w:w="108" w:type="dxa"/>
        </w:tblCellMar>
      </w:tblPr>
      <w:tblGrid>
        <w:gridCol w:w="8729"/>
      </w:tblGrid>
      <w:tr w14:paraId="595CF5B3">
        <w:tblPrEx>
          <w:tblCellMar>
            <w:top w:w="0" w:type="dxa"/>
            <w:left w:w="108" w:type="dxa"/>
            <w:bottom w:w="0" w:type="dxa"/>
            <w:right w:w="108" w:type="dxa"/>
          </w:tblCellMar>
        </w:tblPrEx>
        <w:tc>
          <w:tcPr>
            <w:tcW w:w="8729" w:type="dxa"/>
            <w:shd w:val="clear" w:color="auto" w:fill="auto"/>
          </w:tcPr>
          <w:p w14:paraId="364C8CB0">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供应商名称（加盖公章）：</w:t>
            </w:r>
          </w:p>
        </w:tc>
      </w:tr>
      <w:tr w14:paraId="43DB3C1C">
        <w:tblPrEx>
          <w:tblCellMar>
            <w:top w:w="0" w:type="dxa"/>
            <w:left w:w="108" w:type="dxa"/>
            <w:bottom w:w="0" w:type="dxa"/>
            <w:right w:w="108" w:type="dxa"/>
          </w:tblCellMar>
        </w:tblPrEx>
        <w:tc>
          <w:tcPr>
            <w:tcW w:w="8729" w:type="dxa"/>
            <w:shd w:val="clear" w:color="auto" w:fill="auto"/>
          </w:tcPr>
          <w:p w14:paraId="20FDD45D">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法定代表人（签名或盖章）：</w:t>
            </w:r>
          </w:p>
        </w:tc>
      </w:tr>
      <w:tr w14:paraId="6AFC40AC">
        <w:tblPrEx>
          <w:tblCellMar>
            <w:top w:w="0" w:type="dxa"/>
            <w:left w:w="108" w:type="dxa"/>
            <w:bottom w:w="0" w:type="dxa"/>
            <w:right w:w="108" w:type="dxa"/>
          </w:tblCellMar>
        </w:tblPrEx>
        <w:tc>
          <w:tcPr>
            <w:tcW w:w="8729" w:type="dxa"/>
            <w:shd w:val="clear" w:color="auto" w:fill="auto"/>
          </w:tcPr>
          <w:p w14:paraId="5BC99887">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tc>
      </w:tr>
      <w:tr w14:paraId="5D62FA97">
        <w:tblPrEx>
          <w:tblCellMar>
            <w:top w:w="0" w:type="dxa"/>
            <w:left w:w="108" w:type="dxa"/>
            <w:bottom w:w="0" w:type="dxa"/>
            <w:right w:w="108" w:type="dxa"/>
          </w:tblCellMar>
        </w:tblPrEx>
        <w:tc>
          <w:tcPr>
            <w:tcW w:w="8729" w:type="dxa"/>
            <w:shd w:val="clear" w:color="auto" w:fill="auto"/>
          </w:tcPr>
          <w:p w14:paraId="0CD22749">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被授权人（签名或盖章）：</w:t>
            </w:r>
          </w:p>
        </w:tc>
      </w:tr>
      <w:tr w14:paraId="0C9A84AC">
        <w:tblPrEx>
          <w:tblCellMar>
            <w:top w:w="0" w:type="dxa"/>
            <w:left w:w="108" w:type="dxa"/>
            <w:bottom w:w="0" w:type="dxa"/>
            <w:right w:w="108" w:type="dxa"/>
          </w:tblCellMar>
        </w:tblPrEx>
        <w:tc>
          <w:tcPr>
            <w:tcW w:w="8729" w:type="dxa"/>
            <w:shd w:val="clear" w:color="auto" w:fill="auto"/>
          </w:tcPr>
          <w:p w14:paraId="2A8B26C0">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tc>
      </w:tr>
      <w:tr w14:paraId="49CFDEC6">
        <w:tblPrEx>
          <w:tblCellMar>
            <w:top w:w="0" w:type="dxa"/>
            <w:left w:w="108" w:type="dxa"/>
            <w:bottom w:w="0" w:type="dxa"/>
            <w:right w:w="108" w:type="dxa"/>
          </w:tblCellMar>
        </w:tblPrEx>
        <w:tc>
          <w:tcPr>
            <w:tcW w:w="8729" w:type="dxa"/>
            <w:shd w:val="clear" w:color="auto" w:fill="auto"/>
          </w:tcPr>
          <w:p w14:paraId="77204BC4">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年             月             日</w:t>
            </w:r>
          </w:p>
        </w:tc>
      </w:tr>
    </w:tbl>
    <w:p w14:paraId="0F1DE972">
      <w:pPr>
        <w:pStyle w:val="136"/>
        <w:keepNext w:val="0"/>
        <w:keepLines w:val="0"/>
        <w:pageBreakBefore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color w:val="auto"/>
          <w:sz w:val="24"/>
          <w:szCs w:val="24"/>
          <w:highlight w:val="none"/>
        </w:rPr>
      </w:pPr>
    </w:p>
    <w:p w14:paraId="753D8E4D">
      <w:pPr>
        <w:pStyle w:val="136"/>
        <w:keepNext w:val="0"/>
        <w:keepLines w:val="0"/>
        <w:pageBreakBefore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color w:val="auto"/>
          <w:sz w:val="24"/>
          <w:szCs w:val="24"/>
          <w:highlight w:val="none"/>
        </w:rPr>
      </w:pPr>
    </w:p>
    <w:p w14:paraId="17C677FD">
      <w:pPr>
        <w:keepNext w:val="0"/>
        <w:keepLines w:val="0"/>
        <w:pageBreakBefore w:val="0"/>
        <w:kinsoku/>
        <w:wordWrap/>
        <w:overflowPunct/>
        <w:topLinePunct w:val="0"/>
        <w:autoSpaceDE/>
        <w:autoSpaceDN/>
        <w:bidi w:val="0"/>
        <w:adjustRightInd/>
        <w:snapToGrid/>
        <w:spacing w:after="120" w:afterLines="50"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须附：被授权人有效期内身份证复印件</w:t>
      </w:r>
    </w:p>
    <w:tbl>
      <w:tblPr>
        <w:tblStyle w:val="45"/>
        <w:tblW w:w="879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gridCol w:w="4264"/>
      </w:tblGrid>
      <w:tr w14:paraId="41C5ADA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310" w:hRule="atLeast"/>
          <w:jc w:val="center"/>
        </w:trPr>
        <w:tc>
          <w:tcPr>
            <w:tcW w:w="4535" w:type="dxa"/>
            <w:vAlign w:val="center"/>
          </w:tcPr>
          <w:p w14:paraId="749215A9">
            <w:pPr>
              <w:pStyle w:val="136"/>
              <w:keepNext w:val="0"/>
              <w:keepLines w:val="0"/>
              <w:pageBreakBefore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正面</w:t>
            </w:r>
          </w:p>
        </w:tc>
        <w:tc>
          <w:tcPr>
            <w:tcW w:w="4264" w:type="dxa"/>
            <w:vAlign w:val="center"/>
          </w:tcPr>
          <w:p w14:paraId="16823B0E">
            <w:pPr>
              <w:pStyle w:val="136"/>
              <w:keepNext w:val="0"/>
              <w:keepLines w:val="0"/>
              <w:pageBreakBefore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背面</w:t>
            </w:r>
          </w:p>
        </w:tc>
      </w:tr>
    </w:tbl>
    <w:p w14:paraId="7C525F22">
      <w:pPr>
        <w:keepNext w:val="0"/>
        <w:keepLines w:val="0"/>
        <w:pageBreakBefore w:val="0"/>
        <w:kinsoku/>
        <w:wordWrap/>
        <w:overflowPunct/>
        <w:topLinePunct w:val="0"/>
        <w:autoSpaceDE/>
        <w:autoSpaceDN/>
        <w:bidi w:val="0"/>
        <w:adjustRightInd/>
        <w:snapToGrid/>
        <w:spacing w:before="120" w:beforeLines="50" w:after="120" w:afterLines="50" w:line="288" w:lineRule="auto"/>
        <w:jc w:val="center"/>
        <w:textAlignment w:val="auto"/>
        <w:rPr>
          <w:rFonts w:hint="eastAsia" w:ascii="宋体" w:hAnsi="宋体" w:eastAsia="宋体" w:cs="宋体"/>
          <w:b/>
          <w:color w:val="auto"/>
          <w:spacing w:val="20"/>
          <w:sz w:val="24"/>
          <w:szCs w:val="24"/>
          <w:highlight w:val="none"/>
        </w:rPr>
      </w:pPr>
    </w:p>
    <w:p w14:paraId="7F82071C">
      <w:pPr>
        <w:rPr>
          <w:rFonts w:hint="eastAsia" w:ascii="宋体" w:hAnsi="宋体" w:eastAsia="宋体" w:cs="宋体"/>
          <w:b/>
          <w:color w:val="auto"/>
          <w:spacing w:val="20"/>
          <w:sz w:val="30"/>
          <w:szCs w:val="30"/>
          <w:highlight w:val="none"/>
        </w:rPr>
      </w:pPr>
      <w:r>
        <w:rPr>
          <w:rFonts w:hint="eastAsia" w:ascii="宋体" w:hAnsi="宋体" w:eastAsia="宋体" w:cs="宋体"/>
          <w:b/>
          <w:color w:val="auto"/>
          <w:spacing w:val="20"/>
          <w:sz w:val="30"/>
          <w:szCs w:val="30"/>
          <w:highlight w:val="none"/>
        </w:rPr>
        <w:br w:type="page"/>
      </w:r>
    </w:p>
    <w:p w14:paraId="5D5F2AB1">
      <w:pPr>
        <w:spacing w:line="360" w:lineRule="auto"/>
        <w:jc w:val="center"/>
        <w:rPr>
          <w:rFonts w:hint="eastAsia" w:ascii="宋体" w:hAnsi="宋体" w:eastAsia="宋体" w:cs="宋体"/>
          <w:b/>
          <w:color w:val="auto"/>
          <w:sz w:val="36"/>
          <w:szCs w:val="36"/>
          <w:highlight w:val="none"/>
        </w:rPr>
      </w:pPr>
    </w:p>
    <w:p w14:paraId="497B8833">
      <w:pPr>
        <w:spacing w:line="360" w:lineRule="auto"/>
        <w:jc w:val="center"/>
        <w:rPr>
          <w:rFonts w:hint="eastAsia" w:ascii="宋体" w:hAnsi="宋体" w:eastAsia="宋体" w:cs="宋体"/>
          <w:b/>
          <w:color w:val="auto"/>
          <w:sz w:val="36"/>
          <w:szCs w:val="36"/>
          <w:highlight w:val="none"/>
        </w:rPr>
      </w:pPr>
      <w:r>
        <w:rPr>
          <w:rFonts w:hint="eastAsia" w:ascii="宋体" w:hAnsi="宋体" w:cs="宋体"/>
          <w:b/>
          <w:color w:val="auto"/>
          <w:sz w:val="36"/>
          <w:szCs w:val="36"/>
          <w:highlight w:val="none"/>
          <w:lang w:val="en-US" w:eastAsia="zh-CN"/>
        </w:rPr>
        <w:t>六</w:t>
      </w:r>
      <w:r>
        <w:rPr>
          <w:rFonts w:hint="eastAsia" w:ascii="宋体" w:hAnsi="宋体" w:eastAsia="宋体" w:cs="宋体"/>
          <w:b/>
          <w:color w:val="auto"/>
          <w:sz w:val="36"/>
          <w:szCs w:val="36"/>
          <w:highlight w:val="none"/>
        </w:rPr>
        <w:t>、供应商基本情况说明</w:t>
      </w:r>
    </w:p>
    <w:p w14:paraId="5A7966FA">
      <w:pPr>
        <w:pStyle w:val="95"/>
        <w:keepNext w:val="0"/>
        <w:keepLines w:val="0"/>
        <w:pageBreakBefore w:val="0"/>
        <w:numPr>
          <w:ilvl w:val="0"/>
          <w:numId w:val="11"/>
        </w:numPr>
        <w:kinsoku/>
        <w:wordWrap/>
        <w:topLinePunct w:val="0"/>
        <w:autoSpaceDE/>
        <w:autoSpaceDN/>
        <w:bidi w:val="0"/>
        <w:snapToGrid/>
        <w:spacing w:after="120" w:afterLines="50" w:line="288"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公司基本情况</w:t>
      </w:r>
    </w:p>
    <w:tbl>
      <w:tblPr>
        <w:tblStyle w:val="45"/>
        <w:tblW w:w="9096" w:type="dxa"/>
        <w:jc w:val="center"/>
        <w:tblLayout w:type="fixed"/>
        <w:tblCellMar>
          <w:top w:w="0" w:type="dxa"/>
          <w:left w:w="108" w:type="dxa"/>
          <w:bottom w:w="0" w:type="dxa"/>
          <w:right w:w="108" w:type="dxa"/>
        </w:tblCellMar>
      </w:tblPr>
      <w:tblGrid>
        <w:gridCol w:w="2114"/>
        <w:gridCol w:w="2372"/>
        <w:gridCol w:w="1039"/>
        <w:gridCol w:w="1371"/>
        <w:gridCol w:w="2200"/>
      </w:tblGrid>
      <w:tr w14:paraId="06C58B4B">
        <w:tblPrEx>
          <w:tblCellMar>
            <w:top w:w="0" w:type="dxa"/>
            <w:left w:w="108" w:type="dxa"/>
            <w:bottom w:w="0" w:type="dxa"/>
            <w:right w:w="108" w:type="dxa"/>
          </w:tblCellMar>
        </w:tblPrEx>
        <w:trPr>
          <w:jc w:val="center"/>
        </w:trPr>
        <w:tc>
          <w:tcPr>
            <w:tcW w:w="5525" w:type="dxa"/>
            <w:gridSpan w:val="3"/>
            <w:shd w:val="clear" w:color="auto" w:fill="auto"/>
          </w:tcPr>
          <w:p w14:paraId="76DDD290">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公司名称：</w:t>
            </w:r>
          </w:p>
        </w:tc>
        <w:tc>
          <w:tcPr>
            <w:tcW w:w="3571" w:type="dxa"/>
            <w:gridSpan w:val="2"/>
            <w:shd w:val="clear" w:color="auto" w:fill="auto"/>
          </w:tcPr>
          <w:p w14:paraId="2C6AB300">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公司固话：</w:t>
            </w:r>
          </w:p>
        </w:tc>
      </w:tr>
      <w:tr w14:paraId="4CBF8352">
        <w:tblPrEx>
          <w:tblCellMar>
            <w:top w:w="0" w:type="dxa"/>
            <w:left w:w="108" w:type="dxa"/>
            <w:bottom w:w="0" w:type="dxa"/>
            <w:right w:w="108" w:type="dxa"/>
          </w:tblCellMar>
        </w:tblPrEx>
        <w:trPr>
          <w:jc w:val="center"/>
        </w:trPr>
        <w:tc>
          <w:tcPr>
            <w:tcW w:w="5525" w:type="dxa"/>
            <w:gridSpan w:val="3"/>
            <w:shd w:val="clear" w:color="auto" w:fill="auto"/>
          </w:tcPr>
          <w:p w14:paraId="461B6C2B">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c>
          <w:tcPr>
            <w:tcW w:w="3571" w:type="dxa"/>
            <w:gridSpan w:val="2"/>
            <w:shd w:val="clear" w:color="auto" w:fill="auto"/>
          </w:tcPr>
          <w:p w14:paraId="67FC7969">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公司传真：</w:t>
            </w:r>
          </w:p>
        </w:tc>
      </w:tr>
      <w:tr w14:paraId="21A6ABDE">
        <w:tblPrEx>
          <w:tblCellMar>
            <w:top w:w="0" w:type="dxa"/>
            <w:left w:w="108" w:type="dxa"/>
            <w:bottom w:w="0" w:type="dxa"/>
            <w:right w:w="108" w:type="dxa"/>
          </w:tblCellMar>
        </w:tblPrEx>
        <w:trPr>
          <w:jc w:val="center"/>
        </w:trPr>
        <w:tc>
          <w:tcPr>
            <w:tcW w:w="5525" w:type="dxa"/>
            <w:gridSpan w:val="3"/>
            <w:shd w:val="clear" w:color="auto" w:fill="auto"/>
          </w:tcPr>
          <w:p w14:paraId="24D1D460">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3571" w:type="dxa"/>
            <w:gridSpan w:val="2"/>
            <w:shd w:val="clear" w:color="auto" w:fill="auto"/>
          </w:tcPr>
          <w:p w14:paraId="4F20A3C2">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p>
        </w:tc>
      </w:tr>
      <w:tr w14:paraId="5E97921C">
        <w:tblPrEx>
          <w:tblCellMar>
            <w:top w:w="0" w:type="dxa"/>
            <w:left w:w="108" w:type="dxa"/>
            <w:bottom w:w="0" w:type="dxa"/>
            <w:right w:w="108" w:type="dxa"/>
          </w:tblCellMar>
        </w:tblPrEx>
        <w:trPr>
          <w:jc w:val="center"/>
        </w:trPr>
        <w:tc>
          <w:tcPr>
            <w:tcW w:w="5525" w:type="dxa"/>
            <w:gridSpan w:val="3"/>
            <w:shd w:val="clear" w:color="auto" w:fill="auto"/>
          </w:tcPr>
          <w:p w14:paraId="6E63C812">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公司开户银行名称：</w:t>
            </w:r>
          </w:p>
        </w:tc>
        <w:tc>
          <w:tcPr>
            <w:tcW w:w="3571" w:type="dxa"/>
            <w:gridSpan w:val="2"/>
            <w:shd w:val="clear" w:color="auto" w:fill="auto"/>
          </w:tcPr>
          <w:p w14:paraId="24DC0AFE">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开户账号：</w:t>
            </w:r>
          </w:p>
        </w:tc>
      </w:tr>
      <w:tr w14:paraId="2676E3DF">
        <w:tblPrEx>
          <w:tblCellMar>
            <w:top w:w="0" w:type="dxa"/>
            <w:left w:w="108" w:type="dxa"/>
            <w:bottom w:w="0" w:type="dxa"/>
            <w:right w:w="108" w:type="dxa"/>
          </w:tblCellMar>
        </w:tblPrEx>
        <w:trPr>
          <w:jc w:val="center"/>
        </w:trPr>
        <w:tc>
          <w:tcPr>
            <w:tcW w:w="9096" w:type="dxa"/>
            <w:gridSpan w:val="5"/>
            <w:shd w:val="clear" w:color="auto" w:fill="auto"/>
          </w:tcPr>
          <w:p w14:paraId="1F71A776">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营业注册执照或事业单位法人证书号：</w:t>
            </w:r>
          </w:p>
        </w:tc>
      </w:tr>
      <w:tr w14:paraId="080E5E87">
        <w:tblPrEx>
          <w:tblCellMar>
            <w:top w:w="0" w:type="dxa"/>
            <w:left w:w="108" w:type="dxa"/>
            <w:bottom w:w="0" w:type="dxa"/>
            <w:right w:w="108" w:type="dxa"/>
          </w:tblCellMar>
        </w:tblPrEx>
        <w:trPr>
          <w:trHeight w:val="583" w:hRule="atLeast"/>
          <w:jc w:val="center"/>
        </w:trPr>
        <w:tc>
          <w:tcPr>
            <w:tcW w:w="9096" w:type="dxa"/>
            <w:gridSpan w:val="5"/>
            <w:shd w:val="clear" w:color="auto" w:fill="auto"/>
          </w:tcPr>
          <w:p w14:paraId="54384033">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公司财务状况：（如需）                            【价格单位：（人民币）元】</w:t>
            </w:r>
          </w:p>
        </w:tc>
      </w:tr>
      <w:tr w14:paraId="26A767FE">
        <w:tblPrEx>
          <w:tblCellMar>
            <w:top w:w="0" w:type="dxa"/>
            <w:left w:w="108" w:type="dxa"/>
            <w:bottom w:w="0" w:type="dxa"/>
            <w:right w:w="108" w:type="dxa"/>
          </w:tblCellMar>
        </w:tblPrEx>
        <w:trPr>
          <w:jc w:val="center"/>
        </w:trPr>
        <w:tc>
          <w:tcPr>
            <w:tcW w:w="2114" w:type="dxa"/>
            <w:tcBorders>
              <w:top w:val="single" w:color="auto" w:sz="6" w:space="0"/>
              <w:left w:val="single" w:color="auto" w:sz="6" w:space="0"/>
              <w:bottom w:val="single" w:color="auto" w:sz="6" w:space="0"/>
              <w:right w:val="single" w:color="auto" w:sz="6" w:space="0"/>
            </w:tcBorders>
            <w:shd w:val="clear" w:color="auto" w:fill="auto"/>
            <w:vAlign w:val="center"/>
          </w:tcPr>
          <w:p w14:paraId="37EB282C">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度</w:t>
            </w:r>
          </w:p>
        </w:tc>
        <w:tc>
          <w:tcPr>
            <w:tcW w:w="2372" w:type="dxa"/>
            <w:tcBorders>
              <w:top w:val="single" w:color="auto" w:sz="6" w:space="0"/>
              <w:left w:val="single" w:color="auto" w:sz="6" w:space="0"/>
              <w:bottom w:val="single" w:color="auto" w:sz="6" w:space="0"/>
              <w:right w:val="single" w:color="auto" w:sz="6" w:space="0"/>
            </w:tcBorders>
            <w:shd w:val="clear" w:color="auto" w:fill="auto"/>
            <w:vAlign w:val="center"/>
          </w:tcPr>
          <w:p w14:paraId="3325D465">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总资产（元）</w:t>
            </w:r>
          </w:p>
        </w:tc>
        <w:tc>
          <w:tcPr>
            <w:tcW w:w="2410"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40B5FB5A">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年营业额（元）</w:t>
            </w:r>
          </w:p>
        </w:tc>
        <w:tc>
          <w:tcPr>
            <w:tcW w:w="2200" w:type="dxa"/>
            <w:tcBorders>
              <w:top w:val="single" w:color="auto" w:sz="6" w:space="0"/>
              <w:left w:val="single" w:color="auto" w:sz="6" w:space="0"/>
              <w:bottom w:val="single" w:color="auto" w:sz="6" w:space="0"/>
              <w:right w:val="single" w:color="auto" w:sz="6" w:space="0"/>
            </w:tcBorders>
            <w:shd w:val="clear" w:color="auto" w:fill="auto"/>
            <w:vAlign w:val="center"/>
          </w:tcPr>
          <w:p w14:paraId="43916DF6">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年净利润（元）</w:t>
            </w:r>
          </w:p>
        </w:tc>
      </w:tr>
      <w:tr w14:paraId="3901A454">
        <w:tblPrEx>
          <w:tblCellMar>
            <w:top w:w="0" w:type="dxa"/>
            <w:left w:w="108" w:type="dxa"/>
            <w:bottom w:w="0" w:type="dxa"/>
            <w:right w:w="108" w:type="dxa"/>
          </w:tblCellMar>
        </w:tblPrEx>
        <w:trPr>
          <w:jc w:val="center"/>
        </w:trPr>
        <w:tc>
          <w:tcPr>
            <w:tcW w:w="2114" w:type="dxa"/>
            <w:tcBorders>
              <w:top w:val="single" w:color="auto" w:sz="6" w:space="0"/>
              <w:left w:val="single" w:color="auto" w:sz="6" w:space="0"/>
              <w:bottom w:val="single" w:color="auto" w:sz="6" w:space="0"/>
              <w:right w:val="single" w:color="auto" w:sz="6" w:space="0"/>
            </w:tcBorders>
            <w:shd w:val="clear" w:color="auto" w:fill="auto"/>
          </w:tcPr>
          <w:p w14:paraId="4EC1AA59">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c>
        <w:tc>
          <w:tcPr>
            <w:tcW w:w="2372" w:type="dxa"/>
            <w:tcBorders>
              <w:top w:val="single" w:color="auto" w:sz="6" w:space="0"/>
              <w:left w:val="single" w:color="auto" w:sz="6" w:space="0"/>
              <w:bottom w:val="single" w:color="auto" w:sz="6" w:space="0"/>
              <w:right w:val="single" w:color="auto" w:sz="6" w:space="0"/>
            </w:tcBorders>
            <w:shd w:val="clear" w:color="auto" w:fill="auto"/>
          </w:tcPr>
          <w:p w14:paraId="471B37A9">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c>
        <w:tc>
          <w:tcPr>
            <w:tcW w:w="2410" w:type="dxa"/>
            <w:gridSpan w:val="2"/>
            <w:tcBorders>
              <w:top w:val="single" w:color="auto" w:sz="6" w:space="0"/>
              <w:left w:val="single" w:color="auto" w:sz="6" w:space="0"/>
              <w:bottom w:val="single" w:color="auto" w:sz="6" w:space="0"/>
              <w:right w:val="single" w:color="auto" w:sz="6" w:space="0"/>
            </w:tcBorders>
            <w:shd w:val="clear" w:color="auto" w:fill="auto"/>
          </w:tcPr>
          <w:p w14:paraId="31302DE3">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c>
        <w:tc>
          <w:tcPr>
            <w:tcW w:w="2200" w:type="dxa"/>
            <w:tcBorders>
              <w:top w:val="single" w:color="auto" w:sz="6" w:space="0"/>
              <w:left w:val="single" w:color="auto" w:sz="6" w:space="0"/>
              <w:bottom w:val="single" w:color="auto" w:sz="6" w:space="0"/>
              <w:right w:val="single" w:color="auto" w:sz="6" w:space="0"/>
            </w:tcBorders>
            <w:shd w:val="clear" w:color="auto" w:fill="auto"/>
          </w:tcPr>
          <w:p w14:paraId="10C252E8">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c>
      </w:tr>
      <w:tr w14:paraId="079AA945">
        <w:tblPrEx>
          <w:tblCellMar>
            <w:top w:w="0" w:type="dxa"/>
            <w:left w:w="108" w:type="dxa"/>
            <w:bottom w:w="0" w:type="dxa"/>
            <w:right w:w="108" w:type="dxa"/>
          </w:tblCellMar>
        </w:tblPrEx>
        <w:trPr>
          <w:jc w:val="center"/>
        </w:trPr>
        <w:tc>
          <w:tcPr>
            <w:tcW w:w="2114" w:type="dxa"/>
            <w:tcBorders>
              <w:top w:val="single" w:color="auto" w:sz="6" w:space="0"/>
              <w:left w:val="single" w:color="auto" w:sz="6" w:space="0"/>
              <w:bottom w:val="single" w:color="auto" w:sz="6" w:space="0"/>
              <w:right w:val="single" w:color="auto" w:sz="6" w:space="0"/>
            </w:tcBorders>
            <w:shd w:val="clear" w:color="auto" w:fill="auto"/>
          </w:tcPr>
          <w:p w14:paraId="1F22ABB0">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c>
        <w:tc>
          <w:tcPr>
            <w:tcW w:w="2372" w:type="dxa"/>
            <w:tcBorders>
              <w:top w:val="single" w:color="auto" w:sz="6" w:space="0"/>
              <w:left w:val="single" w:color="auto" w:sz="6" w:space="0"/>
              <w:bottom w:val="single" w:color="auto" w:sz="6" w:space="0"/>
              <w:right w:val="single" w:color="auto" w:sz="6" w:space="0"/>
            </w:tcBorders>
            <w:shd w:val="clear" w:color="auto" w:fill="auto"/>
          </w:tcPr>
          <w:p w14:paraId="68896240">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c>
        <w:tc>
          <w:tcPr>
            <w:tcW w:w="2410" w:type="dxa"/>
            <w:gridSpan w:val="2"/>
            <w:tcBorders>
              <w:top w:val="single" w:color="auto" w:sz="6" w:space="0"/>
              <w:left w:val="single" w:color="auto" w:sz="6" w:space="0"/>
              <w:bottom w:val="single" w:color="auto" w:sz="6" w:space="0"/>
              <w:right w:val="single" w:color="auto" w:sz="6" w:space="0"/>
            </w:tcBorders>
            <w:shd w:val="clear" w:color="auto" w:fill="auto"/>
          </w:tcPr>
          <w:p w14:paraId="4B00574B">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c>
        <w:tc>
          <w:tcPr>
            <w:tcW w:w="2200" w:type="dxa"/>
            <w:tcBorders>
              <w:top w:val="single" w:color="auto" w:sz="6" w:space="0"/>
              <w:left w:val="single" w:color="auto" w:sz="6" w:space="0"/>
              <w:bottom w:val="single" w:color="auto" w:sz="6" w:space="0"/>
              <w:right w:val="single" w:color="auto" w:sz="6" w:space="0"/>
            </w:tcBorders>
            <w:shd w:val="clear" w:color="auto" w:fill="auto"/>
          </w:tcPr>
          <w:p w14:paraId="21B04F4A">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c>
      </w:tr>
      <w:tr w14:paraId="60BDC2F4">
        <w:tblPrEx>
          <w:tblCellMar>
            <w:top w:w="0" w:type="dxa"/>
            <w:left w:w="108" w:type="dxa"/>
            <w:bottom w:w="0" w:type="dxa"/>
            <w:right w:w="108" w:type="dxa"/>
          </w:tblCellMar>
        </w:tblPrEx>
        <w:trPr>
          <w:jc w:val="center"/>
        </w:trPr>
        <w:tc>
          <w:tcPr>
            <w:tcW w:w="2114" w:type="dxa"/>
            <w:tcBorders>
              <w:top w:val="single" w:color="auto" w:sz="6" w:space="0"/>
              <w:left w:val="single" w:color="auto" w:sz="6" w:space="0"/>
              <w:bottom w:val="single" w:color="auto" w:sz="6" w:space="0"/>
              <w:right w:val="single" w:color="auto" w:sz="6" w:space="0"/>
            </w:tcBorders>
            <w:shd w:val="clear" w:color="auto" w:fill="auto"/>
          </w:tcPr>
          <w:p w14:paraId="6F1463C8">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c>
        <w:tc>
          <w:tcPr>
            <w:tcW w:w="2372" w:type="dxa"/>
            <w:tcBorders>
              <w:top w:val="single" w:color="auto" w:sz="6" w:space="0"/>
              <w:left w:val="single" w:color="auto" w:sz="6" w:space="0"/>
              <w:bottom w:val="single" w:color="auto" w:sz="6" w:space="0"/>
              <w:right w:val="single" w:color="auto" w:sz="6" w:space="0"/>
            </w:tcBorders>
            <w:shd w:val="clear" w:color="auto" w:fill="auto"/>
          </w:tcPr>
          <w:p w14:paraId="3160BB1B">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c>
        <w:tc>
          <w:tcPr>
            <w:tcW w:w="2410" w:type="dxa"/>
            <w:gridSpan w:val="2"/>
            <w:tcBorders>
              <w:top w:val="single" w:color="auto" w:sz="6" w:space="0"/>
              <w:left w:val="single" w:color="auto" w:sz="6" w:space="0"/>
              <w:bottom w:val="single" w:color="auto" w:sz="6" w:space="0"/>
              <w:right w:val="single" w:color="auto" w:sz="6" w:space="0"/>
            </w:tcBorders>
            <w:shd w:val="clear" w:color="auto" w:fill="auto"/>
          </w:tcPr>
          <w:p w14:paraId="2C21E244">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c>
        <w:tc>
          <w:tcPr>
            <w:tcW w:w="2200" w:type="dxa"/>
            <w:tcBorders>
              <w:top w:val="single" w:color="auto" w:sz="6" w:space="0"/>
              <w:left w:val="single" w:color="auto" w:sz="6" w:space="0"/>
              <w:bottom w:val="single" w:color="auto" w:sz="6" w:space="0"/>
              <w:right w:val="single" w:color="auto" w:sz="6" w:space="0"/>
            </w:tcBorders>
            <w:shd w:val="clear" w:color="auto" w:fill="auto"/>
          </w:tcPr>
          <w:p w14:paraId="7D5EFE5D">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c>
      </w:tr>
    </w:tbl>
    <w:p w14:paraId="08E82C9A">
      <w:pPr>
        <w:keepNext w:val="0"/>
        <w:keepLines w:val="0"/>
        <w:pageBreakBefore w:val="0"/>
        <w:kinsoku/>
        <w:wordWrap/>
        <w:topLinePunct w:val="0"/>
        <w:autoSpaceDE/>
        <w:autoSpaceDN/>
        <w:bidi w:val="0"/>
        <w:snapToGrid/>
        <w:spacing w:before="120" w:beforeLines="50" w:after="120" w:afterLines="50" w:line="288"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备注：需提供证明资料内容详见</w:t>
      </w:r>
      <w:r>
        <w:rPr>
          <w:rFonts w:hint="eastAsia" w:ascii="宋体" w:hAnsi="宋体" w:eastAsia="宋体" w:cs="宋体"/>
          <w:color w:val="auto"/>
          <w:sz w:val="24"/>
          <w:szCs w:val="24"/>
          <w:highlight w:val="none"/>
          <w:u w:val="single"/>
        </w:rPr>
        <w:t>（评标方法）</w:t>
      </w:r>
      <w:r>
        <w:rPr>
          <w:rFonts w:hint="eastAsia" w:ascii="宋体" w:hAnsi="宋体" w:eastAsia="宋体" w:cs="宋体"/>
          <w:color w:val="auto"/>
          <w:sz w:val="24"/>
          <w:szCs w:val="24"/>
          <w:highlight w:val="none"/>
        </w:rPr>
        <w:t>。</w:t>
      </w:r>
    </w:p>
    <w:p w14:paraId="634D8277">
      <w:pPr>
        <w:keepNext w:val="0"/>
        <w:keepLines w:val="0"/>
        <w:pageBreakBefore w:val="0"/>
        <w:kinsoku/>
        <w:wordWrap/>
        <w:topLinePunct w:val="0"/>
        <w:autoSpaceDE/>
        <w:autoSpaceDN/>
        <w:bidi w:val="0"/>
        <w:snapToGrid/>
        <w:spacing w:before="120" w:beforeLines="50" w:after="360" w:afterLines="150" w:line="288" w:lineRule="auto"/>
        <w:ind w:firstLine="480" w:firstLineChars="200"/>
        <w:textAlignment w:val="auto"/>
        <w:rPr>
          <w:rFonts w:hint="eastAsia" w:ascii="宋体" w:hAnsi="宋体" w:eastAsia="宋体" w:cs="宋体"/>
          <w:color w:val="auto"/>
          <w:sz w:val="24"/>
          <w:szCs w:val="24"/>
          <w:highlight w:val="none"/>
        </w:rPr>
      </w:pPr>
    </w:p>
    <w:p w14:paraId="4644D6FD">
      <w:pPr>
        <w:keepNext w:val="0"/>
        <w:keepLines w:val="0"/>
        <w:pageBreakBefore w:val="0"/>
        <w:kinsoku/>
        <w:wordWrap/>
        <w:topLinePunct w:val="0"/>
        <w:autoSpaceDE/>
        <w:autoSpaceDN/>
        <w:bidi w:val="0"/>
        <w:snapToGrid/>
        <w:spacing w:before="120" w:beforeLines="50" w:after="360" w:afterLines="150"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兹证明上述声明是真实、正确的，并提供了全部能提供的资料和数据，我方同意遵照贵方要求出示有关证明文件。</w:t>
      </w:r>
    </w:p>
    <w:tbl>
      <w:tblPr>
        <w:tblStyle w:val="45"/>
        <w:tblW w:w="8528" w:type="dxa"/>
        <w:tblInd w:w="0" w:type="dxa"/>
        <w:tblLayout w:type="fixed"/>
        <w:tblCellMar>
          <w:top w:w="0" w:type="dxa"/>
          <w:left w:w="108" w:type="dxa"/>
          <w:bottom w:w="0" w:type="dxa"/>
          <w:right w:w="108" w:type="dxa"/>
        </w:tblCellMar>
      </w:tblPr>
      <w:tblGrid>
        <w:gridCol w:w="5353"/>
        <w:gridCol w:w="3175"/>
      </w:tblGrid>
      <w:tr w14:paraId="2DD3F08B">
        <w:tblPrEx>
          <w:tblCellMar>
            <w:top w:w="0" w:type="dxa"/>
            <w:left w:w="108" w:type="dxa"/>
            <w:bottom w:w="0" w:type="dxa"/>
            <w:right w:w="108" w:type="dxa"/>
          </w:tblCellMar>
        </w:tblPrEx>
        <w:tc>
          <w:tcPr>
            <w:tcW w:w="5353" w:type="dxa"/>
            <w:shd w:val="clear" w:color="auto" w:fill="auto"/>
          </w:tcPr>
          <w:p w14:paraId="0827AB53">
            <w:pPr>
              <w:keepNext w:val="0"/>
              <w:keepLines w:val="0"/>
              <w:pageBreakBefore w:val="0"/>
              <w:kinsoku/>
              <w:wordWrap/>
              <w:overflowPunct w:val="0"/>
              <w:topLinePunct w:val="0"/>
              <w:autoSpaceDE/>
              <w:autoSpaceDN/>
              <w:bidi w:val="0"/>
              <w:adjustRightInd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供应商名称（加盖公章）：</w:t>
            </w:r>
          </w:p>
        </w:tc>
        <w:tc>
          <w:tcPr>
            <w:tcW w:w="3175" w:type="dxa"/>
            <w:shd w:val="clear" w:color="auto" w:fill="auto"/>
          </w:tcPr>
          <w:p w14:paraId="7ADF40A4">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c>
      </w:tr>
      <w:tr w14:paraId="1FC3FFE7">
        <w:tblPrEx>
          <w:tblCellMar>
            <w:top w:w="0" w:type="dxa"/>
            <w:left w:w="108" w:type="dxa"/>
            <w:bottom w:w="0" w:type="dxa"/>
            <w:right w:w="108" w:type="dxa"/>
          </w:tblCellMar>
        </w:tblPrEx>
        <w:tc>
          <w:tcPr>
            <w:tcW w:w="5353" w:type="dxa"/>
            <w:shd w:val="clear" w:color="auto" w:fill="auto"/>
          </w:tcPr>
          <w:p w14:paraId="573F1A4F">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p w14:paraId="47984E4F">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tc>
        <w:tc>
          <w:tcPr>
            <w:tcW w:w="3175" w:type="dxa"/>
            <w:shd w:val="clear" w:color="auto" w:fill="auto"/>
          </w:tcPr>
          <w:p w14:paraId="668D80EF">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c>
      </w:tr>
    </w:tbl>
    <w:p w14:paraId="0BBE4E71">
      <w:pPr>
        <w:rPr>
          <w:rFonts w:hint="eastAsia" w:ascii="宋体" w:hAnsi="宋体" w:eastAsia="宋体" w:cs="宋体"/>
          <w:b/>
          <w:color w:val="auto"/>
          <w:spacing w:val="20"/>
          <w:sz w:val="21"/>
          <w:szCs w:val="21"/>
          <w:highlight w:val="none"/>
        </w:rPr>
      </w:pPr>
      <w:r>
        <w:rPr>
          <w:rFonts w:hint="eastAsia" w:ascii="宋体" w:hAnsi="宋体" w:eastAsia="宋体" w:cs="宋体"/>
          <w:b/>
          <w:color w:val="auto"/>
          <w:spacing w:val="20"/>
          <w:sz w:val="21"/>
          <w:szCs w:val="21"/>
          <w:highlight w:val="none"/>
        </w:rPr>
        <w:br w:type="page"/>
      </w:r>
    </w:p>
    <w:p w14:paraId="7ACECDF1">
      <w:pPr>
        <w:spacing w:line="360" w:lineRule="auto"/>
        <w:jc w:val="center"/>
        <w:rPr>
          <w:rFonts w:hint="eastAsia" w:ascii="宋体" w:hAnsi="宋体" w:eastAsia="宋体" w:cs="宋体"/>
          <w:b/>
          <w:color w:val="auto"/>
          <w:sz w:val="36"/>
          <w:szCs w:val="36"/>
          <w:highlight w:val="none"/>
        </w:rPr>
      </w:pPr>
    </w:p>
    <w:p w14:paraId="694E88AE">
      <w:pPr>
        <w:spacing w:line="360" w:lineRule="auto"/>
        <w:jc w:val="center"/>
        <w:rPr>
          <w:rFonts w:hint="eastAsia" w:ascii="宋体" w:hAnsi="宋体" w:eastAsia="宋体" w:cs="宋体"/>
          <w:b/>
          <w:color w:val="auto"/>
          <w:sz w:val="36"/>
          <w:szCs w:val="36"/>
          <w:highlight w:val="none"/>
        </w:rPr>
      </w:pPr>
      <w:r>
        <w:rPr>
          <w:rFonts w:hint="eastAsia" w:ascii="宋体" w:hAnsi="宋体" w:cs="宋体"/>
          <w:b/>
          <w:color w:val="auto"/>
          <w:sz w:val="36"/>
          <w:szCs w:val="36"/>
          <w:highlight w:val="none"/>
          <w:lang w:val="en-US" w:eastAsia="zh-CN"/>
        </w:rPr>
        <w:t>七</w:t>
      </w:r>
      <w:r>
        <w:rPr>
          <w:rFonts w:hint="eastAsia" w:ascii="宋体" w:hAnsi="宋体" w:eastAsia="宋体" w:cs="宋体"/>
          <w:b/>
          <w:color w:val="auto"/>
          <w:sz w:val="36"/>
          <w:szCs w:val="36"/>
          <w:highlight w:val="none"/>
        </w:rPr>
        <w:t>、承诺书</w:t>
      </w:r>
    </w:p>
    <w:p w14:paraId="3B2C2A9F">
      <w:pPr>
        <w:pStyle w:val="136"/>
        <w:keepNext w:val="0"/>
        <w:keepLines w:val="0"/>
        <w:pageBreakBefore w:val="0"/>
        <w:kinsoku/>
        <w:wordWrap/>
        <w:overflowPunct/>
        <w:topLinePunct w:val="0"/>
        <w:autoSpaceDE/>
        <w:autoSpaceDN/>
        <w:bidi w:val="0"/>
        <w:adjustRightInd/>
        <w:snapToGrid/>
        <w:spacing w:line="288" w:lineRule="auto"/>
        <w:ind w:firstLine="441"/>
        <w:textAlignment w:val="auto"/>
        <w:rPr>
          <w:rFonts w:hint="eastAsia" w:ascii="宋体" w:hAnsi="宋体" w:eastAsia="宋体" w:cs="宋体"/>
          <w:color w:val="auto"/>
          <w:spacing w:val="2"/>
          <w:sz w:val="24"/>
          <w:szCs w:val="24"/>
          <w:highlight w:val="none"/>
        </w:rPr>
      </w:pPr>
      <w:bookmarkStart w:id="50" w:name="_Toc313537922"/>
      <w:r>
        <w:rPr>
          <w:rFonts w:hint="eastAsia" w:ascii="宋体" w:hAnsi="宋体" w:eastAsia="宋体" w:cs="宋体"/>
          <w:color w:val="auto"/>
          <w:spacing w:val="2"/>
          <w:sz w:val="24"/>
          <w:szCs w:val="24"/>
          <w:highlight w:val="none"/>
        </w:rPr>
        <w:t>我方已完整阅读了</w:t>
      </w:r>
      <w:r>
        <w:rPr>
          <w:rFonts w:hint="eastAsia" w:ascii="宋体" w:hAnsi="宋体" w:eastAsia="宋体" w:cs="宋体"/>
          <w:color w:val="auto"/>
          <w:spacing w:val="2"/>
          <w:sz w:val="24"/>
          <w:szCs w:val="24"/>
          <w:highlight w:val="none"/>
          <w:u w:val="single"/>
        </w:rPr>
        <w:t>（</w:t>
      </w:r>
      <w:r>
        <w:rPr>
          <w:rFonts w:hint="eastAsia" w:ascii="宋体" w:hAnsi="宋体" w:eastAsia="宋体" w:cs="宋体"/>
          <w:b/>
          <w:color w:val="auto"/>
          <w:spacing w:val="2"/>
          <w:sz w:val="24"/>
          <w:szCs w:val="24"/>
          <w:highlight w:val="none"/>
          <w:u w:val="single"/>
        </w:rPr>
        <w:t>项目名称</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（项目编号：</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）招标文件的所有内容（包括澄清，以及所有已提供的参考资料和有关附件），并完全理解上述文件所表达的意思，该项目递交投标文件时间截止后，我方承诺不再对上述文件内容进行询问或质疑。</w:t>
      </w:r>
      <w:bookmarkEnd w:id="50"/>
      <w:r>
        <w:rPr>
          <w:rFonts w:hint="eastAsia" w:ascii="宋体" w:hAnsi="宋体" w:eastAsia="宋体" w:cs="宋体"/>
          <w:color w:val="auto"/>
          <w:spacing w:val="2"/>
          <w:sz w:val="24"/>
          <w:szCs w:val="24"/>
          <w:highlight w:val="none"/>
        </w:rPr>
        <w:cr/>
      </w:r>
    </w:p>
    <w:p w14:paraId="287E2683">
      <w:pPr>
        <w:pStyle w:val="136"/>
        <w:keepNext w:val="0"/>
        <w:keepLines w:val="0"/>
        <w:pageBreakBefore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color w:val="auto"/>
          <w:spacing w:val="2"/>
          <w:sz w:val="24"/>
          <w:szCs w:val="24"/>
          <w:highlight w:val="none"/>
        </w:rPr>
      </w:pPr>
    </w:p>
    <w:p w14:paraId="3F670423">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p>
    <w:tbl>
      <w:tblPr>
        <w:tblStyle w:val="45"/>
        <w:tblW w:w="8528" w:type="dxa"/>
        <w:tblInd w:w="0" w:type="dxa"/>
        <w:tblLayout w:type="fixed"/>
        <w:tblCellMar>
          <w:top w:w="0" w:type="dxa"/>
          <w:left w:w="108" w:type="dxa"/>
          <w:bottom w:w="0" w:type="dxa"/>
          <w:right w:w="108" w:type="dxa"/>
        </w:tblCellMar>
      </w:tblPr>
      <w:tblGrid>
        <w:gridCol w:w="2802"/>
        <w:gridCol w:w="5726"/>
      </w:tblGrid>
      <w:tr w14:paraId="0FF8567E">
        <w:tc>
          <w:tcPr>
            <w:tcW w:w="2802" w:type="dxa"/>
            <w:shd w:val="clear" w:color="auto" w:fill="auto"/>
          </w:tcPr>
          <w:p w14:paraId="343E51CA">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p>
        </w:tc>
        <w:tc>
          <w:tcPr>
            <w:tcW w:w="5726" w:type="dxa"/>
            <w:shd w:val="clear" w:color="auto" w:fill="auto"/>
          </w:tcPr>
          <w:p w14:paraId="07081A13">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供应商名称（加盖公章）：</w:t>
            </w:r>
          </w:p>
        </w:tc>
      </w:tr>
      <w:tr w14:paraId="5779BEDB">
        <w:tblPrEx>
          <w:tblCellMar>
            <w:top w:w="0" w:type="dxa"/>
            <w:left w:w="108" w:type="dxa"/>
            <w:bottom w:w="0" w:type="dxa"/>
            <w:right w:w="108" w:type="dxa"/>
          </w:tblCellMar>
        </w:tblPrEx>
        <w:tc>
          <w:tcPr>
            <w:tcW w:w="2802" w:type="dxa"/>
            <w:shd w:val="clear" w:color="auto" w:fill="auto"/>
          </w:tcPr>
          <w:p w14:paraId="1FDA9428">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p>
        </w:tc>
        <w:tc>
          <w:tcPr>
            <w:tcW w:w="5726" w:type="dxa"/>
            <w:shd w:val="clear" w:color="auto" w:fill="auto"/>
          </w:tcPr>
          <w:p w14:paraId="2146A8C9">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p>
          <w:p w14:paraId="152D0F43">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法定代表人或被授权人（签名或盖章）：</w:t>
            </w:r>
          </w:p>
        </w:tc>
      </w:tr>
      <w:tr w14:paraId="2600986D">
        <w:tc>
          <w:tcPr>
            <w:tcW w:w="2802" w:type="dxa"/>
            <w:shd w:val="clear" w:color="auto" w:fill="auto"/>
          </w:tcPr>
          <w:p w14:paraId="39E0D899">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p>
        </w:tc>
        <w:tc>
          <w:tcPr>
            <w:tcW w:w="5726" w:type="dxa"/>
            <w:shd w:val="clear" w:color="auto" w:fill="auto"/>
          </w:tcPr>
          <w:p w14:paraId="23F6505A">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p>
          <w:p w14:paraId="0B3A5BEA">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tc>
      </w:tr>
    </w:tbl>
    <w:p w14:paraId="7782F010">
      <w:pPr>
        <w:spacing w:line="360" w:lineRule="auto"/>
        <w:rPr>
          <w:rFonts w:hint="eastAsia" w:ascii="宋体" w:hAnsi="宋体" w:eastAsia="宋体" w:cs="宋体"/>
          <w:color w:val="auto"/>
          <w:szCs w:val="21"/>
          <w:highlight w:val="none"/>
        </w:rPr>
      </w:pPr>
    </w:p>
    <w:p w14:paraId="4C2524D3">
      <w:pPr>
        <w:rPr>
          <w:rFonts w:hint="eastAsia" w:ascii="宋体" w:hAnsi="宋体" w:eastAsia="宋体" w:cs="宋体"/>
          <w:b/>
          <w:color w:val="auto"/>
          <w:spacing w:val="20"/>
          <w:sz w:val="30"/>
          <w:szCs w:val="30"/>
          <w:highlight w:val="none"/>
        </w:rPr>
      </w:pPr>
      <w:r>
        <w:rPr>
          <w:rFonts w:hint="eastAsia" w:ascii="宋体" w:hAnsi="宋体" w:eastAsia="宋体" w:cs="宋体"/>
          <w:b/>
          <w:color w:val="auto"/>
          <w:spacing w:val="20"/>
          <w:sz w:val="30"/>
          <w:szCs w:val="30"/>
          <w:highlight w:val="none"/>
        </w:rPr>
        <w:br w:type="page"/>
      </w:r>
    </w:p>
    <w:p w14:paraId="56A1170B">
      <w:pPr>
        <w:spacing w:line="360" w:lineRule="auto"/>
        <w:jc w:val="center"/>
        <w:rPr>
          <w:rFonts w:hint="eastAsia" w:ascii="宋体" w:hAnsi="宋体" w:eastAsia="宋体" w:cs="宋体"/>
          <w:b/>
          <w:color w:val="auto"/>
          <w:sz w:val="36"/>
          <w:szCs w:val="36"/>
          <w:highlight w:val="none"/>
        </w:rPr>
      </w:pPr>
    </w:p>
    <w:p w14:paraId="59685CAB">
      <w:pPr>
        <w:spacing w:line="360" w:lineRule="auto"/>
        <w:jc w:val="center"/>
        <w:rPr>
          <w:rFonts w:hint="eastAsia" w:ascii="宋体" w:hAnsi="宋体" w:eastAsia="宋体" w:cs="宋体"/>
          <w:b/>
          <w:color w:val="auto"/>
          <w:sz w:val="36"/>
          <w:szCs w:val="36"/>
          <w:highlight w:val="none"/>
        </w:rPr>
      </w:pPr>
      <w:r>
        <w:rPr>
          <w:rFonts w:hint="eastAsia" w:ascii="宋体" w:hAnsi="宋体" w:cs="宋体"/>
          <w:b/>
          <w:color w:val="auto"/>
          <w:sz w:val="36"/>
          <w:szCs w:val="36"/>
          <w:highlight w:val="none"/>
          <w:lang w:val="en-US" w:eastAsia="zh-CN"/>
        </w:rPr>
        <w:t>八</w:t>
      </w:r>
      <w:r>
        <w:rPr>
          <w:rFonts w:hint="eastAsia" w:ascii="宋体" w:hAnsi="宋体" w:eastAsia="宋体" w:cs="宋体"/>
          <w:b/>
          <w:color w:val="auto"/>
          <w:sz w:val="36"/>
          <w:szCs w:val="36"/>
          <w:highlight w:val="none"/>
        </w:rPr>
        <w:t>、近三年（</w:t>
      </w:r>
      <w:r>
        <w:rPr>
          <w:rFonts w:hint="eastAsia" w:ascii="宋体" w:hAnsi="宋体" w:cs="宋体"/>
          <w:b/>
          <w:color w:val="auto"/>
          <w:sz w:val="36"/>
          <w:szCs w:val="36"/>
          <w:highlight w:val="none"/>
          <w:lang w:val="en-US" w:eastAsia="zh-CN"/>
        </w:rPr>
        <w:t>2022年至招标公告发布之日</w:t>
      </w:r>
      <w:r>
        <w:rPr>
          <w:rFonts w:hint="eastAsia" w:ascii="宋体" w:hAnsi="宋体" w:eastAsia="宋体" w:cs="宋体"/>
          <w:b/>
          <w:color w:val="auto"/>
          <w:sz w:val="36"/>
          <w:szCs w:val="36"/>
          <w:highlight w:val="none"/>
        </w:rPr>
        <w:t>）</w:t>
      </w:r>
      <w:r>
        <w:rPr>
          <w:rFonts w:hint="eastAsia" w:ascii="宋体" w:hAnsi="宋体" w:cs="宋体"/>
          <w:b/>
          <w:color w:val="auto"/>
          <w:sz w:val="36"/>
          <w:szCs w:val="36"/>
          <w:highlight w:val="none"/>
          <w:lang w:val="en-US" w:eastAsia="zh-CN"/>
        </w:rPr>
        <w:t>同类</w:t>
      </w:r>
      <w:r>
        <w:rPr>
          <w:rFonts w:hint="eastAsia" w:ascii="宋体" w:hAnsi="宋体" w:eastAsia="宋体" w:cs="宋体"/>
          <w:b/>
          <w:color w:val="auto"/>
          <w:sz w:val="36"/>
          <w:szCs w:val="36"/>
          <w:highlight w:val="none"/>
        </w:rPr>
        <w:t>业绩表</w:t>
      </w:r>
    </w:p>
    <w:tbl>
      <w:tblPr>
        <w:tblStyle w:val="45"/>
        <w:tblW w:w="9071"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2094"/>
        <w:gridCol w:w="1562"/>
        <w:gridCol w:w="1557"/>
        <w:gridCol w:w="1842"/>
        <w:gridCol w:w="1288"/>
      </w:tblGrid>
      <w:tr w14:paraId="1021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9071" w:type="dxa"/>
            <w:gridSpan w:val="6"/>
            <w:vAlign w:val="center"/>
          </w:tcPr>
          <w:p w14:paraId="09BD26F0">
            <w:pPr>
              <w:keepNext w:val="0"/>
              <w:keepLines w:val="0"/>
              <w:pageBreakBefore w:val="0"/>
              <w:widowControl/>
              <w:kinsoku/>
              <w:wordWrap/>
              <w:topLinePunct w:val="0"/>
              <w:autoSpaceDE/>
              <w:autoSpaceDN/>
              <w:bidi w:val="0"/>
              <w:snapToGrid/>
              <w:spacing w:before="156" w:after="156" w:line="288"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项目名称：                              </w:t>
            </w:r>
            <w:r>
              <w:rPr>
                <w:rFonts w:hint="eastAsia" w:ascii="宋体" w:hAnsi="宋体" w:eastAsia="宋体" w:cs="宋体"/>
                <w:b/>
                <w:color w:val="auto"/>
                <w:sz w:val="24"/>
                <w:szCs w:val="24"/>
                <w:highlight w:val="none"/>
              </w:rPr>
              <w:t>项目编号：</w:t>
            </w:r>
          </w:p>
        </w:tc>
      </w:tr>
      <w:tr w14:paraId="7741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28" w:type="dxa"/>
            <w:vAlign w:val="center"/>
          </w:tcPr>
          <w:p w14:paraId="6E4CA72D">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094" w:type="dxa"/>
            <w:vAlign w:val="center"/>
          </w:tcPr>
          <w:p w14:paraId="3CC71BE0">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1562" w:type="dxa"/>
            <w:vAlign w:val="center"/>
          </w:tcPr>
          <w:p w14:paraId="71E41701">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合同金额</w:t>
            </w:r>
          </w:p>
        </w:tc>
        <w:tc>
          <w:tcPr>
            <w:tcW w:w="1557" w:type="dxa"/>
            <w:vAlign w:val="center"/>
          </w:tcPr>
          <w:p w14:paraId="61929848">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签约时间</w:t>
            </w:r>
          </w:p>
        </w:tc>
        <w:tc>
          <w:tcPr>
            <w:tcW w:w="1842" w:type="dxa"/>
            <w:vAlign w:val="center"/>
          </w:tcPr>
          <w:p w14:paraId="538852BC">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完成情况</w:t>
            </w:r>
          </w:p>
        </w:tc>
        <w:tc>
          <w:tcPr>
            <w:tcW w:w="1288" w:type="dxa"/>
            <w:vAlign w:val="center"/>
          </w:tcPr>
          <w:p w14:paraId="1AB1F98D">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0D7A5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689EDE73">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2094" w:type="dxa"/>
            <w:vAlign w:val="center"/>
          </w:tcPr>
          <w:p w14:paraId="7CBEEAB5">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562" w:type="dxa"/>
            <w:vAlign w:val="center"/>
          </w:tcPr>
          <w:p w14:paraId="40FBAE22">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557" w:type="dxa"/>
            <w:vAlign w:val="center"/>
          </w:tcPr>
          <w:p w14:paraId="51669779">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842" w:type="dxa"/>
            <w:vAlign w:val="center"/>
          </w:tcPr>
          <w:p w14:paraId="10742CEA">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288" w:type="dxa"/>
            <w:vAlign w:val="center"/>
          </w:tcPr>
          <w:p w14:paraId="257BCE8B">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r>
      <w:tr w14:paraId="559C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3C80869F">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2094" w:type="dxa"/>
            <w:vAlign w:val="center"/>
          </w:tcPr>
          <w:p w14:paraId="0333F8A9">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562" w:type="dxa"/>
            <w:vAlign w:val="center"/>
          </w:tcPr>
          <w:p w14:paraId="3D9D4D67">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557" w:type="dxa"/>
            <w:vAlign w:val="center"/>
          </w:tcPr>
          <w:p w14:paraId="04F43375">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842" w:type="dxa"/>
            <w:vAlign w:val="center"/>
          </w:tcPr>
          <w:p w14:paraId="0691CE93">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288" w:type="dxa"/>
            <w:vAlign w:val="center"/>
          </w:tcPr>
          <w:p w14:paraId="6CF94188">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r>
      <w:tr w14:paraId="1E42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471FD2DA">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2094" w:type="dxa"/>
            <w:vAlign w:val="center"/>
          </w:tcPr>
          <w:p w14:paraId="32DAA31A">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562" w:type="dxa"/>
            <w:vAlign w:val="center"/>
          </w:tcPr>
          <w:p w14:paraId="67B0AA8C">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557" w:type="dxa"/>
            <w:vAlign w:val="center"/>
          </w:tcPr>
          <w:p w14:paraId="2D4D7354">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842" w:type="dxa"/>
            <w:vAlign w:val="center"/>
          </w:tcPr>
          <w:p w14:paraId="2F7E335B">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288" w:type="dxa"/>
            <w:vAlign w:val="center"/>
          </w:tcPr>
          <w:p w14:paraId="04973B7D">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r>
      <w:tr w14:paraId="327E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1AA9D747">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2094" w:type="dxa"/>
            <w:vAlign w:val="center"/>
          </w:tcPr>
          <w:p w14:paraId="7C9A5B45">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562" w:type="dxa"/>
            <w:vAlign w:val="center"/>
          </w:tcPr>
          <w:p w14:paraId="1C1CF9AF">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557" w:type="dxa"/>
            <w:vAlign w:val="center"/>
          </w:tcPr>
          <w:p w14:paraId="4890009C">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842" w:type="dxa"/>
            <w:vAlign w:val="center"/>
          </w:tcPr>
          <w:p w14:paraId="17FD75BA">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288" w:type="dxa"/>
            <w:vAlign w:val="center"/>
          </w:tcPr>
          <w:p w14:paraId="49A6214F">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r>
      <w:tr w14:paraId="733B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599E570E">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2094" w:type="dxa"/>
            <w:vAlign w:val="center"/>
          </w:tcPr>
          <w:p w14:paraId="28AA5148">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562" w:type="dxa"/>
            <w:vAlign w:val="center"/>
          </w:tcPr>
          <w:p w14:paraId="03C85D4C">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557" w:type="dxa"/>
            <w:vAlign w:val="center"/>
          </w:tcPr>
          <w:p w14:paraId="233B29DF">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842" w:type="dxa"/>
            <w:vAlign w:val="center"/>
          </w:tcPr>
          <w:p w14:paraId="7AF1A098">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288" w:type="dxa"/>
            <w:vAlign w:val="center"/>
          </w:tcPr>
          <w:p w14:paraId="3433325F">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r>
      <w:tr w14:paraId="5C058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60C7E8D6">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2094" w:type="dxa"/>
            <w:vAlign w:val="center"/>
          </w:tcPr>
          <w:p w14:paraId="5B03AB24">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562" w:type="dxa"/>
            <w:vAlign w:val="center"/>
          </w:tcPr>
          <w:p w14:paraId="4B56286E">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557" w:type="dxa"/>
            <w:vAlign w:val="center"/>
          </w:tcPr>
          <w:p w14:paraId="76BFCFA6">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842" w:type="dxa"/>
            <w:vAlign w:val="center"/>
          </w:tcPr>
          <w:p w14:paraId="2252734B">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288" w:type="dxa"/>
            <w:vAlign w:val="center"/>
          </w:tcPr>
          <w:p w14:paraId="2E7FD02B">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r>
      <w:tr w14:paraId="1A6F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129C0D7B">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2094" w:type="dxa"/>
            <w:vAlign w:val="center"/>
          </w:tcPr>
          <w:p w14:paraId="76BC3C63">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562" w:type="dxa"/>
            <w:vAlign w:val="center"/>
          </w:tcPr>
          <w:p w14:paraId="471CFFC8">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557" w:type="dxa"/>
            <w:vAlign w:val="center"/>
          </w:tcPr>
          <w:p w14:paraId="079E2D1F">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842" w:type="dxa"/>
            <w:vAlign w:val="center"/>
          </w:tcPr>
          <w:p w14:paraId="77AF77EF">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288" w:type="dxa"/>
            <w:vAlign w:val="center"/>
          </w:tcPr>
          <w:p w14:paraId="1114647F">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r>
      <w:tr w14:paraId="723E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398AB629">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2094" w:type="dxa"/>
            <w:vAlign w:val="center"/>
          </w:tcPr>
          <w:p w14:paraId="2E482499">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562" w:type="dxa"/>
            <w:vAlign w:val="center"/>
          </w:tcPr>
          <w:p w14:paraId="722F85EE">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557" w:type="dxa"/>
            <w:vAlign w:val="center"/>
          </w:tcPr>
          <w:p w14:paraId="2EFEC8BC">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842" w:type="dxa"/>
            <w:vAlign w:val="center"/>
          </w:tcPr>
          <w:p w14:paraId="64403ED6">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288" w:type="dxa"/>
            <w:vAlign w:val="center"/>
          </w:tcPr>
          <w:p w14:paraId="68C9C28B">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r>
      <w:tr w14:paraId="492C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3A8BF38A">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2094" w:type="dxa"/>
            <w:vAlign w:val="center"/>
          </w:tcPr>
          <w:p w14:paraId="56E5A83E">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562" w:type="dxa"/>
            <w:vAlign w:val="center"/>
          </w:tcPr>
          <w:p w14:paraId="2D5DE43A">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557" w:type="dxa"/>
            <w:vAlign w:val="center"/>
          </w:tcPr>
          <w:p w14:paraId="473BDC86">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842" w:type="dxa"/>
            <w:vAlign w:val="center"/>
          </w:tcPr>
          <w:p w14:paraId="62751208">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c>
          <w:tcPr>
            <w:tcW w:w="1288" w:type="dxa"/>
            <w:vAlign w:val="center"/>
          </w:tcPr>
          <w:p w14:paraId="0BBD7A32">
            <w:pPr>
              <w:keepNext w:val="0"/>
              <w:keepLines w:val="0"/>
              <w:pageBreakBefore w:val="0"/>
              <w:widowControl/>
              <w:kinsoku/>
              <w:wordWrap/>
              <w:topLinePunct w:val="0"/>
              <w:autoSpaceDE/>
              <w:autoSpaceDN/>
              <w:bidi w:val="0"/>
              <w:snapToGrid/>
              <w:spacing w:before="156" w:after="156" w:line="288" w:lineRule="auto"/>
              <w:jc w:val="center"/>
              <w:textAlignment w:val="auto"/>
              <w:rPr>
                <w:rFonts w:hint="eastAsia" w:ascii="宋体" w:hAnsi="宋体" w:eastAsia="宋体" w:cs="宋体"/>
                <w:color w:val="auto"/>
                <w:sz w:val="24"/>
                <w:szCs w:val="24"/>
                <w:highlight w:val="none"/>
              </w:rPr>
            </w:pPr>
          </w:p>
        </w:tc>
      </w:tr>
    </w:tbl>
    <w:p w14:paraId="405C469F">
      <w:pPr>
        <w:keepNext w:val="0"/>
        <w:keepLines w:val="0"/>
        <w:pageBreakBefore w:val="0"/>
        <w:widowControl/>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备注：需提供证明资料内容详见</w:t>
      </w:r>
      <w:r>
        <w:rPr>
          <w:rFonts w:hint="eastAsia" w:ascii="宋体" w:hAnsi="宋体" w:eastAsia="宋体" w:cs="宋体"/>
          <w:color w:val="auto"/>
          <w:sz w:val="24"/>
          <w:szCs w:val="24"/>
          <w:highlight w:val="none"/>
          <w:u w:val="single"/>
        </w:rPr>
        <w:t>（评标方法）</w:t>
      </w:r>
      <w:r>
        <w:rPr>
          <w:rFonts w:hint="eastAsia" w:ascii="宋体" w:hAnsi="宋体" w:eastAsia="宋体" w:cs="宋体"/>
          <w:color w:val="auto"/>
          <w:sz w:val="24"/>
          <w:szCs w:val="24"/>
          <w:highlight w:val="none"/>
        </w:rPr>
        <w:t>。</w:t>
      </w:r>
    </w:p>
    <w:p w14:paraId="1C0607B5">
      <w:pPr>
        <w:pStyle w:val="5"/>
        <w:rPr>
          <w:rFonts w:hint="eastAsia"/>
          <w:highlight w:val="yellow"/>
        </w:rPr>
      </w:pPr>
    </w:p>
    <w:tbl>
      <w:tblPr>
        <w:tblStyle w:val="45"/>
        <w:tblW w:w="8528" w:type="dxa"/>
        <w:tblInd w:w="0" w:type="dxa"/>
        <w:tblLayout w:type="fixed"/>
        <w:tblCellMar>
          <w:top w:w="0" w:type="dxa"/>
          <w:left w:w="108" w:type="dxa"/>
          <w:bottom w:w="0" w:type="dxa"/>
          <w:right w:w="108" w:type="dxa"/>
        </w:tblCellMar>
      </w:tblPr>
      <w:tblGrid>
        <w:gridCol w:w="5353"/>
        <w:gridCol w:w="3175"/>
      </w:tblGrid>
      <w:tr w14:paraId="0B3FAE70">
        <w:tblPrEx>
          <w:tblCellMar>
            <w:top w:w="0" w:type="dxa"/>
            <w:left w:w="108" w:type="dxa"/>
            <w:bottom w:w="0" w:type="dxa"/>
            <w:right w:w="108" w:type="dxa"/>
          </w:tblCellMar>
        </w:tblPrEx>
        <w:tc>
          <w:tcPr>
            <w:tcW w:w="5353" w:type="dxa"/>
            <w:shd w:val="clear" w:color="auto" w:fill="auto"/>
          </w:tcPr>
          <w:p w14:paraId="302DBE17">
            <w:pPr>
              <w:keepNext w:val="0"/>
              <w:keepLines w:val="0"/>
              <w:pageBreakBefore w:val="0"/>
              <w:widowControl/>
              <w:kinsoku/>
              <w:wordWrap/>
              <w:overflowPunct w:val="0"/>
              <w:topLinePunct w:val="0"/>
              <w:autoSpaceDE/>
              <w:autoSpaceDN/>
              <w:bidi w:val="0"/>
              <w:adjustRightInd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供应商名称（加盖公章）：</w:t>
            </w:r>
          </w:p>
        </w:tc>
        <w:tc>
          <w:tcPr>
            <w:tcW w:w="3175" w:type="dxa"/>
            <w:shd w:val="clear" w:color="auto" w:fill="auto"/>
          </w:tcPr>
          <w:p w14:paraId="2B6B6F90">
            <w:pPr>
              <w:keepNext w:val="0"/>
              <w:keepLines w:val="0"/>
              <w:pageBreakBefore w:val="0"/>
              <w:widowControl/>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c>
      </w:tr>
      <w:tr w14:paraId="15415444">
        <w:tblPrEx>
          <w:tblCellMar>
            <w:top w:w="0" w:type="dxa"/>
            <w:left w:w="108" w:type="dxa"/>
            <w:bottom w:w="0" w:type="dxa"/>
            <w:right w:w="108" w:type="dxa"/>
          </w:tblCellMar>
        </w:tblPrEx>
        <w:tc>
          <w:tcPr>
            <w:tcW w:w="5353" w:type="dxa"/>
            <w:shd w:val="clear" w:color="auto" w:fill="auto"/>
          </w:tcPr>
          <w:p w14:paraId="7C0E88CF">
            <w:pPr>
              <w:keepNext w:val="0"/>
              <w:keepLines w:val="0"/>
              <w:pageBreakBefore w:val="0"/>
              <w:widowControl/>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p w14:paraId="4EEDB8A6">
            <w:pPr>
              <w:keepNext w:val="0"/>
              <w:keepLines w:val="0"/>
              <w:pageBreakBefore w:val="0"/>
              <w:widowControl/>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tc>
        <w:tc>
          <w:tcPr>
            <w:tcW w:w="3175" w:type="dxa"/>
            <w:shd w:val="clear" w:color="auto" w:fill="auto"/>
          </w:tcPr>
          <w:p w14:paraId="40B27581">
            <w:pPr>
              <w:keepNext w:val="0"/>
              <w:keepLines w:val="0"/>
              <w:pageBreakBefore w:val="0"/>
              <w:widowControl/>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c>
      </w:tr>
    </w:tbl>
    <w:p w14:paraId="6C5B3D68">
      <w:pPr>
        <w:spacing w:line="360" w:lineRule="auto"/>
        <w:rPr>
          <w:rFonts w:hint="eastAsia" w:ascii="宋体" w:hAnsi="宋体" w:eastAsia="宋体" w:cs="宋体"/>
          <w:color w:val="auto"/>
          <w:szCs w:val="21"/>
          <w:highlight w:val="none"/>
        </w:rPr>
      </w:pPr>
    </w:p>
    <w:p w14:paraId="25D95438">
      <w:pPr>
        <w:rPr>
          <w:rFonts w:hint="eastAsia" w:ascii="宋体" w:hAnsi="宋体" w:eastAsia="宋体" w:cs="宋体"/>
          <w:b/>
          <w:color w:val="auto"/>
          <w:spacing w:val="20"/>
          <w:sz w:val="30"/>
          <w:szCs w:val="30"/>
          <w:highlight w:val="none"/>
        </w:rPr>
      </w:pPr>
      <w:r>
        <w:rPr>
          <w:rFonts w:hint="eastAsia" w:ascii="宋体" w:hAnsi="宋体" w:eastAsia="宋体" w:cs="宋体"/>
          <w:b/>
          <w:color w:val="auto"/>
          <w:spacing w:val="20"/>
          <w:sz w:val="30"/>
          <w:szCs w:val="30"/>
          <w:highlight w:val="none"/>
        </w:rPr>
        <w:br w:type="page"/>
      </w:r>
    </w:p>
    <w:p w14:paraId="27A21AE3">
      <w:pPr>
        <w:spacing w:line="360" w:lineRule="auto"/>
        <w:jc w:val="center"/>
        <w:rPr>
          <w:rFonts w:hint="eastAsia" w:ascii="宋体" w:hAnsi="宋体" w:eastAsia="宋体" w:cs="宋体"/>
          <w:b/>
          <w:color w:val="auto"/>
          <w:sz w:val="36"/>
          <w:szCs w:val="36"/>
          <w:highlight w:val="none"/>
        </w:rPr>
      </w:pPr>
    </w:p>
    <w:p w14:paraId="1317C114">
      <w:pPr>
        <w:spacing w:line="360" w:lineRule="auto"/>
        <w:jc w:val="center"/>
        <w:rPr>
          <w:rFonts w:hint="eastAsia" w:ascii="宋体" w:hAnsi="宋体" w:eastAsia="宋体" w:cs="宋体"/>
          <w:b/>
          <w:color w:val="auto"/>
          <w:sz w:val="36"/>
          <w:szCs w:val="36"/>
          <w:highlight w:val="none"/>
        </w:rPr>
      </w:pPr>
      <w:r>
        <w:rPr>
          <w:rFonts w:hint="eastAsia" w:ascii="宋体" w:hAnsi="宋体" w:cs="宋体"/>
          <w:b/>
          <w:color w:val="auto"/>
          <w:sz w:val="36"/>
          <w:szCs w:val="36"/>
          <w:highlight w:val="none"/>
          <w:lang w:val="en-US" w:eastAsia="zh-CN"/>
        </w:rPr>
        <w:t>九</w:t>
      </w:r>
      <w:r>
        <w:rPr>
          <w:rFonts w:hint="eastAsia" w:ascii="宋体" w:hAnsi="宋体" w:eastAsia="宋体" w:cs="宋体"/>
          <w:b/>
          <w:color w:val="auto"/>
          <w:sz w:val="36"/>
          <w:szCs w:val="36"/>
          <w:highlight w:val="none"/>
        </w:rPr>
        <w:t>、技术参数偏离表</w:t>
      </w:r>
    </w:p>
    <w:tbl>
      <w:tblPr>
        <w:tblStyle w:val="45"/>
        <w:tblW w:w="9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352"/>
        <w:gridCol w:w="2379"/>
        <w:gridCol w:w="1500"/>
        <w:gridCol w:w="2056"/>
      </w:tblGrid>
      <w:tr w14:paraId="70F90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207" w:type="dxa"/>
            <w:gridSpan w:val="5"/>
            <w:vAlign w:val="center"/>
          </w:tcPr>
          <w:p w14:paraId="00164354">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项目名称：                                         </w:t>
            </w:r>
            <w:r>
              <w:rPr>
                <w:rFonts w:hint="eastAsia" w:ascii="宋体" w:hAnsi="宋体" w:eastAsia="宋体" w:cs="宋体"/>
                <w:b/>
                <w:color w:val="auto"/>
                <w:sz w:val="24"/>
                <w:szCs w:val="24"/>
                <w:highlight w:val="none"/>
              </w:rPr>
              <w:t>项目编号：</w:t>
            </w:r>
          </w:p>
        </w:tc>
      </w:tr>
      <w:tr w14:paraId="78A8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20" w:type="dxa"/>
            <w:vAlign w:val="center"/>
          </w:tcPr>
          <w:p w14:paraId="351D1A40">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352" w:type="dxa"/>
            <w:vAlign w:val="center"/>
          </w:tcPr>
          <w:p w14:paraId="607D1AD8">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招标文件要求</w:t>
            </w:r>
          </w:p>
        </w:tc>
        <w:tc>
          <w:tcPr>
            <w:tcW w:w="2379" w:type="dxa"/>
            <w:vAlign w:val="center"/>
          </w:tcPr>
          <w:p w14:paraId="768C2334">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投标文件响应内容</w:t>
            </w:r>
          </w:p>
        </w:tc>
        <w:tc>
          <w:tcPr>
            <w:tcW w:w="1500" w:type="dxa"/>
            <w:vAlign w:val="center"/>
          </w:tcPr>
          <w:p w14:paraId="153816E4">
            <w:pPr>
              <w:keepNext w:val="0"/>
              <w:keepLines w:val="0"/>
              <w:pageBreakBefore w:val="0"/>
              <w:kinsoku/>
              <w:wordWrap/>
              <w:topLinePunct w:val="0"/>
              <w:autoSpaceDE/>
              <w:autoSpaceDN/>
              <w:bidi w:val="0"/>
              <w:snapToGrid/>
              <w:spacing w:line="288" w:lineRule="auto"/>
              <w:ind w:left="293" w:hanging="335" w:hangingChars="139"/>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偏离情况</w:t>
            </w:r>
          </w:p>
        </w:tc>
        <w:tc>
          <w:tcPr>
            <w:tcW w:w="2056" w:type="dxa"/>
            <w:vAlign w:val="center"/>
          </w:tcPr>
          <w:p w14:paraId="1E3D4824">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r>
      <w:tr w14:paraId="1A272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920" w:type="dxa"/>
            <w:vAlign w:val="center"/>
          </w:tcPr>
          <w:p w14:paraId="33B7A238">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352" w:type="dxa"/>
            <w:vAlign w:val="center"/>
          </w:tcPr>
          <w:p w14:paraId="60DE60C4">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379" w:type="dxa"/>
            <w:vAlign w:val="center"/>
          </w:tcPr>
          <w:p w14:paraId="62AE7202">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500" w:type="dxa"/>
            <w:vAlign w:val="center"/>
          </w:tcPr>
          <w:p w14:paraId="2C454473">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056" w:type="dxa"/>
            <w:vAlign w:val="center"/>
          </w:tcPr>
          <w:p w14:paraId="30909238">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r>
      <w:tr w14:paraId="6E3C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20" w:type="dxa"/>
            <w:vAlign w:val="center"/>
          </w:tcPr>
          <w:p w14:paraId="0C581218">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352" w:type="dxa"/>
            <w:vAlign w:val="center"/>
          </w:tcPr>
          <w:p w14:paraId="33390CB2">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379" w:type="dxa"/>
            <w:vAlign w:val="center"/>
          </w:tcPr>
          <w:p w14:paraId="53EA4483">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500" w:type="dxa"/>
            <w:vAlign w:val="center"/>
          </w:tcPr>
          <w:p w14:paraId="4F65DB1C">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056" w:type="dxa"/>
            <w:vAlign w:val="center"/>
          </w:tcPr>
          <w:p w14:paraId="3233F724">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r>
      <w:tr w14:paraId="7675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20" w:type="dxa"/>
            <w:vAlign w:val="center"/>
          </w:tcPr>
          <w:p w14:paraId="1150B104">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352" w:type="dxa"/>
            <w:vAlign w:val="center"/>
          </w:tcPr>
          <w:p w14:paraId="56994C7D">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379" w:type="dxa"/>
            <w:vAlign w:val="center"/>
          </w:tcPr>
          <w:p w14:paraId="3E6EA013">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500" w:type="dxa"/>
            <w:vAlign w:val="center"/>
          </w:tcPr>
          <w:p w14:paraId="1F1114BD">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056" w:type="dxa"/>
            <w:vAlign w:val="center"/>
          </w:tcPr>
          <w:p w14:paraId="1378DD17">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r>
      <w:tr w14:paraId="2103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20" w:type="dxa"/>
            <w:vAlign w:val="center"/>
          </w:tcPr>
          <w:p w14:paraId="17204F9D">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352" w:type="dxa"/>
            <w:vAlign w:val="center"/>
          </w:tcPr>
          <w:p w14:paraId="7E168413">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379" w:type="dxa"/>
            <w:vAlign w:val="center"/>
          </w:tcPr>
          <w:p w14:paraId="634CF0D3">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500" w:type="dxa"/>
            <w:vAlign w:val="center"/>
          </w:tcPr>
          <w:p w14:paraId="42F486CA">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056" w:type="dxa"/>
            <w:vAlign w:val="center"/>
          </w:tcPr>
          <w:p w14:paraId="6DCDF034">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r>
      <w:tr w14:paraId="60D9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20" w:type="dxa"/>
            <w:vAlign w:val="center"/>
          </w:tcPr>
          <w:p w14:paraId="4C2D510E">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352" w:type="dxa"/>
            <w:vAlign w:val="center"/>
          </w:tcPr>
          <w:p w14:paraId="217EF5A0">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379" w:type="dxa"/>
            <w:vAlign w:val="center"/>
          </w:tcPr>
          <w:p w14:paraId="0B4C46B2">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1500" w:type="dxa"/>
            <w:vAlign w:val="center"/>
          </w:tcPr>
          <w:p w14:paraId="2B0C30FA">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c>
          <w:tcPr>
            <w:tcW w:w="2056" w:type="dxa"/>
            <w:vAlign w:val="center"/>
          </w:tcPr>
          <w:p w14:paraId="4753764A">
            <w:pPr>
              <w:keepNext w:val="0"/>
              <w:keepLines w:val="0"/>
              <w:pageBreakBefore w:val="0"/>
              <w:kinsoku/>
              <w:wordWrap/>
              <w:topLinePunct w:val="0"/>
              <w:autoSpaceDE/>
              <w:autoSpaceDN/>
              <w:bidi w:val="0"/>
              <w:snapToGrid/>
              <w:spacing w:line="288" w:lineRule="auto"/>
              <w:jc w:val="center"/>
              <w:textAlignment w:val="auto"/>
              <w:rPr>
                <w:rFonts w:hint="eastAsia" w:ascii="宋体" w:hAnsi="宋体" w:eastAsia="宋体" w:cs="宋体"/>
                <w:color w:val="auto"/>
                <w:sz w:val="24"/>
                <w:szCs w:val="24"/>
                <w:highlight w:val="none"/>
              </w:rPr>
            </w:pPr>
          </w:p>
        </w:tc>
      </w:tr>
    </w:tbl>
    <w:p w14:paraId="1DAA63A8">
      <w:pPr>
        <w:keepNext w:val="0"/>
        <w:keepLines w:val="0"/>
        <w:pageBreakBefore w:val="0"/>
        <w:kinsoku/>
        <w:wordWrap/>
        <w:topLinePunct w:val="0"/>
        <w:autoSpaceDE/>
        <w:autoSpaceDN/>
        <w:bidi w:val="0"/>
        <w:snapToGrid/>
        <w:spacing w:before="120" w:beforeLines="50"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注明：</w:t>
      </w:r>
    </w:p>
    <w:p w14:paraId="3AA0C6D9">
      <w:pPr>
        <w:pStyle w:val="95"/>
        <w:keepNext w:val="0"/>
        <w:keepLines w:val="0"/>
        <w:pageBreakBefore w:val="0"/>
        <w:numPr>
          <w:ilvl w:val="0"/>
          <w:numId w:val="12"/>
        </w:numPr>
        <w:kinsoku/>
        <w:wordWrap/>
        <w:topLinePunct w:val="0"/>
        <w:autoSpaceDE/>
        <w:autoSpaceDN/>
        <w:bidi w:val="0"/>
        <w:snapToGrid/>
        <w:spacing w:line="288"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偏离情况项填写“正”、“负”或“无”，说明项中填写原因。</w:t>
      </w:r>
    </w:p>
    <w:p w14:paraId="78E499F0">
      <w:pPr>
        <w:pStyle w:val="95"/>
        <w:keepNext w:val="0"/>
        <w:keepLines w:val="0"/>
        <w:pageBreakBefore w:val="0"/>
        <w:numPr>
          <w:ilvl w:val="0"/>
          <w:numId w:val="12"/>
        </w:numPr>
        <w:kinsoku/>
        <w:wordWrap/>
        <w:topLinePunct w:val="0"/>
        <w:autoSpaceDE/>
        <w:autoSpaceDN/>
        <w:bidi w:val="0"/>
        <w:snapToGrid/>
        <w:spacing w:line="288" w:lineRule="auto"/>
        <w:ind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供应商应按照招标文件</w:t>
      </w:r>
      <w:r>
        <w:rPr>
          <w:rFonts w:hint="eastAsia" w:ascii="宋体" w:hAnsi="宋体" w:eastAsia="宋体" w:cs="宋体"/>
          <w:color w:val="auto"/>
          <w:sz w:val="24"/>
          <w:szCs w:val="24"/>
          <w:highlight w:val="none"/>
          <w:lang w:val="en-US" w:eastAsia="zh-CN"/>
        </w:rPr>
        <w:t>“第四部分 采购需求和技术要求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对技术参数的</w:t>
      </w:r>
      <w:r>
        <w:rPr>
          <w:rFonts w:hint="eastAsia" w:ascii="宋体" w:hAnsi="宋体" w:eastAsia="宋体" w:cs="宋体"/>
          <w:color w:val="auto"/>
          <w:sz w:val="24"/>
          <w:szCs w:val="24"/>
          <w:highlight w:val="none"/>
        </w:rPr>
        <w:t>要求</w:t>
      </w:r>
      <w:r>
        <w:rPr>
          <w:rFonts w:hint="eastAsia" w:ascii="宋体" w:hAnsi="宋体" w:eastAsia="宋体" w:cs="宋体"/>
          <w:b/>
          <w:bCs/>
          <w:color w:val="auto"/>
          <w:sz w:val="24"/>
          <w:szCs w:val="24"/>
          <w:highlight w:val="none"/>
          <w:lang w:val="en-US" w:eastAsia="zh-CN"/>
        </w:rPr>
        <w:t>逐条</w:t>
      </w:r>
      <w:r>
        <w:rPr>
          <w:rFonts w:hint="eastAsia" w:ascii="宋体" w:hAnsi="宋体" w:eastAsia="宋体" w:cs="宋体"/>
          <w:color w:val="auto"/>
          <w:sz w:val="24"/>
          <w:szCs w:val="24"/>
          <w:highlight w:val="none"/>
        </w:rPr>
        <w:t>作出响应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并将所投货物的技术参数说明书及相关质检报告等材料附后；</w:t>
      </w:r>
    </w:p>
    <w:p w14:paraId="6D06A3EE">
      <w:pPr>
        <w:pStyle w:val="95"/>
        <w:keepNext w:val="0"/>
        <w:keepLines w:val="0"/>
        <w:pageBreakBefore w:val="0"/>
        <w:numPr>
          <w:ilvl w:val="0"/>
          <w:numId w:val="12"/>
        </w:numPr>
        <w:kinsoku/>
        <w:wordWrap/>
        <w:topLinePunct w:val="0"/>
        <w:autoSpaceDE/>
        <w:autoSpaceDN/>
        <w:bidi w:val="0"/>
        <w:snapToGrid/>
        <w:spacing w:line="288"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对响应有偏离的，则说明偏离的内容。若有要求提供相关证明资料的，须按要求提供。</w:t>
      </w:r>
    </w:p>
    <w:p w14:paraId="0F05E07A">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p w14:paraId="30B930B3">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p w14:paraId="01A3E3B5">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bl>
      <w:tblPr>
        <w:tblStyle w:val="45"/>
        <w:tblW w:w="8528" w:type="dxa"/>
        <w:tblInd w:w="0" w:type="dxa"/>
        <w:tblLayout w:type="fixed"/>
        <w:tblCellMar>
          <w:top w:w="0" w:type="dxa"/>
          <w:left w:w="108" w:type="dxa"/>
          <w:bottom w:w="0" w:type="dxa"/>
          <w:right w:w="108" w:type="dxa"/>
        </w:tblCellMar>
      </w:tblPr>
      <w:tblGrid>
        <w:gridCol w:w="5353"/>
        <w:gridCol w:w="3175"/>
      </w:tblGrid>
      <w:tr w14:paraId="49CD273E">
        <w:tblPrEx>
          <w:tblCellMar>
            <w:top w:w="0" w:type="dxa"/>
            <w:left w:w="108" w:type="dxa"/>
            <w:bottom w:w="0" w:type="dxa"/>
            <w:right w:w="108" w:type="dxa"/>
          </w:tblCellMar>
        </w:tblPrEx>
        <w:tc>
          <w:tcPr>
            <w:tcW w:w="5353" w:type="dxa"/>
            <w:shd w:val="clear" w:color="auto" w:fill="auto"/>
          </w:tcPr>
          <w:p w14:paraId="7196C9E6">
            <w:pPr>
              <w:keepNext w:val="0"/>
              <w:keepLines w:val="0"/>
              <w:pageBreakBefore w:val="0"/>
              <w:kinsoku/>
              <w:wordWrap/>
              <w:overflowPunct w:val="0"/>
              <w:topLinePunct w:val="0"/>
              <w:autoSpaceDE/>
              <w:autoSpaceDN/>
              <w:bidi w:val="0"/>
              <w:adjustRightInd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供应商名称（加盖公章）：</w:t>
            </w:r>
          </w:p>
        </w:tc>
        <w:tc>
          <w:tcPr>
            <w:tcW w:w="3175" w:type="dxa"/>
            <w:shd w:val="clear" w:color="auto" w:fill="auto"/>
          </w:tcPr>
          <w:p w14:paraId="6BF672DA">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c>
      </w:tr>
      <w:tr w14:paraId="4F5C3E10">
        <w:tblPrEx>
          <w:tblCellMar>
            <w:top w:w="0" w:type="dxa"/>
            <w:left w:w="108" w:type="dxa"/>
            <w:bottom w:w="0" w:type="dxa"/>
            <w:right w:w="108" w:type="dxa"/>
          </w:tblCellMar>
        </w:tblPrEx>
        <w:tc>
          <w:tcPr>
            <w:tcW w:w="5353" w:type="dxa"/>
            <w:shd w:val="clear" w:color="auto" w:fill="auto"/>
          </w:tcPr>
          <w:p w14:paraId="5B6F7E34">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p w14:paraId="3403BE03">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tc>
        <w:tc>
          <w:tcPr>
            <w:tcW w:w="3175" w:type="dxa"/>
            <w:shd w:val="clear" w:color="auto" w:fill="auto"/>
          </w:tcPr>
          <w:p w14:paraId="39C495FE">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c>
      </w:tr>
    </w:tbl>
    <w:p w14:paraId="717BB3FA">
      <w:pPr>
        <w:spacing w:line="360" w:lineRule="auto"/>
        <w:rPr>
          <w:rFonts w:hint="eastAsia" w:ascii="宋体" w:hAnsi="宋体" w:eastAsia="宋体" w:cs="宋体"/>
          <w:color w:val="auto"/>
          <w:szCs w:val="21"/>
          <w:highlight w:val="none"/>
        </w:rPr>
      </w:pPr>
    </w:p>
    <w:p w14:paraId="4B80FAD4">
      <w:pPr>
        <w:spacing w:line="360" w:lineRule="auto"/>
        <w:rPr>
          <w:rFonts w:hint="eastAsia" w:ascii="宋体" w:hAnsi="宋体" w:eastAsia="宋体" w:cs="宋体"/>
          <w:color w:val="auto"/>
          <w:szCs w:val="21"/>
          <w:highlight w:val="none"/>
        </w:rPr>
      </w:pPr>
    </w:p>
    <w:p w14:paraId="3A19547A">
      <w:pPr>
        <w:rPr>
          <w:rStyle w:val="48"/>
          <w:rFonts w:hint="eastAsia" w:ascii="宋体" w:hAnsi="宋体" w:eastAsia="宋体" w:cs="宋体"/>
          <w:bCs w:val="0"/>
          <w:color w:val="auto"/>
          <w:spacing w:val="12"/>
          <w:highlight w:val="none"/>
        </w:rPr>
      </w:pPr>
      <w:bookmarkStart w:id="51" w:name="_Toc405313974"/>
      <w:bookmarkStart w:id="52" w:name="_Toc494567328"/>
      <w:bookmarkStart w:id="53" w:name="_Toc3236439"/>
      <w:bookmarkStart w:id="54" w:name="_Toc391627770"/>
      <w:r>
        <w:rPr>
          <w:rStyle w:val="48"/>
          <w:rFonts w:hint="eastAsia" w:ascii="宋体" w:hAnsi="宋体" w:eastAsia="宋体" w:cs="宋体"/>
          <w:color w:val="auto"/>
          <w:spacing w:val="12"/>
          <w:highlight w:val="none"/>
        </w:rPr>
        <w:br w:type="page"/>
      </w:r>
    </w:p>
    <w:p w14:paraId="76569F44">
      <w:pPr>
        <w:spacing w:line="360" w:lineRule="auto"/>
        <w:jc w:val="center"/>
        <w:rPr>
          <w:rFonts w:hint="eastAsia" w:ascii="宋体" w:hAnsi="宋体" w:eastAsia="宋体" w:cs="宋体"/>
          <w:b/>
          <w:color w:val="auto"/>
          <w:sz w:val="36"/>
          <w:szCs w:val="36"/>
          <w:highlight w:val="none"/>
        </w:rPr>
      </w:pPr>
      <w:r>
        <w:rPr>
          <w:rFonts w:hint="eastAsia" w:ascii="宋体" w:hAnsi="宋体" w:cs="宋体"/>
          <w:b/>
          <w:color w:val="auto"/>
          <w:sz w:val="36"/>
          <w:szCs w:val="36"/>
          <w:highlight w:val="none"/>
          <w:lang w:val="en-US" w:eastAsia="zh-CN"/>
        </w:rPr>
        <w:t>十</w:t>
      </w:r>
      <w:r>
        <w:rPr>
          <w:rFonts w:hint="eastAsia" w:ascii="宋体" w:hAnsi="宋体" w:eastAsia="宋体" w:cs="宋体"/>
          <w:b/>
          <w:color w:val="auto"/>
          <w:sz w:val="36"/>
          <w:szCs w:val="36"/>
          <w:highlight w:val="none"/>
        </w:rPr>
        <w:t>、技术参数承诺书</w:t>
      </w:r>
    </w:p>
    <w:p w14:paraId="6E2A9149">
      <w:pPr>
        <w:rPr>
          <w:rStyle w:val="48"/>
          <w:rFonts w:hint="eastAsia" w:ascii="宋体" w:hAnsi="宋体" w:eastAsia="宋体" w:cs="宋体"/>
          <w:color w:val="auto"/>
          <w:spacing w:val="12"/>
          <w:highlight w:val="none"/>
        </w:rPr>
      </w:pPr>
    </w:p>
    <w:p w14:paraId="30D6D865">
      <w:pPr>
        <w:pageBreakBefore w:val="0"/>
        <w:widowControl/>
        <w:kinsoku/>
        <w:overflowPunct/>
        <w:topLinePunct w:val="0"/>
        <w:autoSpaceDE/>
        <w:autoSpaceDN/>
        <w:bidi w:val="0"/>
        <w:adjustRightInd/>
        <w:snapToGrid/>
        <w:spacing w:line="288" w:lineRule="auto"/>
        <w:textAlignment w:val="auto"/>
        <w:rPr>
          <w:rStyle w:val="48"/>
          <w:rFonts w:hint="eastAsia" w:ascii="宋体" w:hAnsi="宋体" w:eastAsia="宋体" w:cs="宋体"/>
          <w:b w:val="0"/>
          <w:color w:val="auto"/>
          <w:spacing w:val="12"/>
          <w:sz w:val="24"/>
          <w:szCs w:val="24"/>
          <w:highlight w:val="none"/>
        </w:rPr>
      </w:pPr>
      <w:r>
        <w:rPr>
          <w:rStyle w:val="48"/>
          <w:rFonts w:hint="eastAsia" w:ascii="宋体" w:hAnsi="宋体" w:eastAsia="宋体" w:cs="宋体"/>
          <w:color w:val="auto"/>
          <w:spacing w:val="12"/>
          <w:sz w:val="24"/>
          <w:szCs w:val="24"/>
          <w:highlight w:val="none"/>
        </w:rPr>
        <w:t>致：（采购人名称）</w:t>
      </w:r>
    </w:p>
    <w:p w14:paraId="136AFA5C">
      <w:pPr>
        <w:pStyle w:val="5"/>
        <w:pageBreakBefore w:val="0"/>
        <w:widowControl/>
        <w:kinsoku/>
        <w:overflowPunct/>
        <w:topLinePunct w:val="0"/>
        <w:autoSpaceDE/>
        <w:autoSpaceDN/>
        <w:bidi w:val="0"/>
        <w:adjustRightInd/>
        <w:snapToGrid/>
        <w:spacing w:line="288" w:lineRule="auto"/>
        <w:textAlignment w:val="auto"/>
        <w:rPr>
          <w:rStyle w:val="48"/>
          <w:rFonts w:hint="eastAsia" w:ascii="宋体" w:hAnsi="宋体" w:eastAsia="宋体" w:cs="宋体"/>
          <w:b w:val="0"/>
          <w:bCs w:val="0"/>
          <w:color w:val="auto"/>
          <w:spacing w:val="12"/>
          <w:sz w:val="24"/>
          <w:szCs w:val="24"/>
          <w:highlight w:val="none"/>
        </w:rPr>
      </w:pPr>
      <w:r>
        <w:rPr>
          <w:rStyle w:val="48"/>
          <w:rFonts w:hint="eastAsia" w:ascii="宋体" w:hAnsi="宋体" w:eastAsia="宋体" w:cs="宋体"/>
          <w:b w:val="0"/>
          <w:bCs w:val="0"/>
          <w:color w:val="auto"/>
          <w:spacing w:val="12"/>
          <w:sz w:val="24"/>
          <w:szCs w:val="24"/>
          <w:highlight w:val="none"/>
        </w:rPr>
        <w:t xml:space="preserve">    我公司承诺：如我公司在参与</w:t>
      </w:r>
      <w:r>
        <w:rPr>
          <w:rStyle w:val="48"/>
          <w:rFonts w:hint="eastAsia" w:ascii="宋体" w:hAnsi="宋体" w:eastAsia="宋体" w:cs="宋体"/>
          <w:b w:val="0"/>
          <w:bCs w:val="0"/>
          <w:color w:val="auto"/>
          <w:spacing w:val="12"/>
          <w:sz w:val="24"/>
          <w:szCs w:val="24"/>
          <w:highlight w:val="none"/>
          <w:u w:val="single"/>
        </w:rPr>
        <w:t xml:space="preserve">   （项目名称）    </w:t>
      </w:r>
      <w:r>
        <w:rPr>
          <w:rStyle w:val="48"/>
          <w:rFonts w:hint="eastAsia" w:ascii="宋体" w:hAnsi="宋体" w:eastAsia="宋体" w:cs="宋体"/>
          <w:b w:val="0"/>
          <w:bCs w:val="0"/>
          <w:color w:val="auto"/>
          <w:spacing w:val="12"/>
          <w:sz w:val="24"/>
          <w:szCs w:val="24"/>
          <w:highlight w:val="none"/>
        </w:rPr>
        <w:t>中标后，所投货物经采购人验收后若与技术参数偏离表上偏离情况不符合，出现的所有后果由我公司自行承担。</w:t>
      </w:r>
    </w:p>
    <w:p w14:paraId="484BD750">
      <w:pPr>
        <w:pageBreakBefore w:val="0"/>
        <w:widowControl/>
        <w:kinsoku/>
        <w:overflowPunct/>
        <w:topLinePunct w:val="0"/>
        <w:autoSpaceDE/>
        <w:autoSpaceDN/>
        <w:bidi w:val="0"/>
        <w:adjustRightInd/>
        <w:snapToGrid/>
        <w:spacing w:line="288" w:lineRule="auto"/>
        <w:textAlignment w:val="auto"/>
        <w:rPr>
          <w:rStyle w:val="48"/>
          <w:rFonts w:hint="eastAsia" w:ascii="宋体" w:hAnsi="宋体" w:eastAsia="宋体" w:cs="宋体"/>
          <w:b w:val="0"/>
          <w:color w:val="auto"/>
          <w:spacing w:val="12"/>
          <w:sz w:val="24"/>
          <w:szCs w:val="24"/>
          <w:highlight w:val="none"/>
        </w:rPr>
      </w:pPr>
    </w:p>
    <w:p w14:paraId="21BFAF5B">
      <w:pPr>
        <w:pStyle w:val="5"/>
        <w:pageBreakBefore w:val="0"/>
        <w:widowControl/>
        <w:kinsoku/>
        <w:overflowPunct/>
        <w:topLinePunct w:val="0"/>
        <w:autoSpaceDE/>
        <w:autoSpaceDN/>
        <w:bidi w:val="0"/>
        <w:adjustRightInd/>
        <w:snapToGrid/>
        <w:spacing w:line="288" w:lineRule="auto"/>
        <w:textAlignment w:val="auto"/>
        <w:rPr>
          <w:rStyle w:val="48"/>
          <w:rFonts w:hint="eastAsia" w:ascii="宋体" w:hAnsi="宋体" w:eastAsia="宋体" w:cs="宋体"/>
          <w:b w:val="0"/>
          <w:bCs w:val="0"/>
          <w:color w:val="auto"/>
          <w:spacing w:val="12"/>
          <w:sz w:val="24"/>
          <w:szCs w:val="24"/>
          <w:highlight w:val="none"/>
        </w:rPr>
      </w:pPr>
    </w:p>
    <w:p w14:paraId="6D6611C0">
      <w:pPr>
        <w:pageBreakBefore w:val="0"/>
        <w:widowControl/>
        <w:kinsoku/>
        <w:wordWrap w:val="0"/>
        <w:overflowPunct/>
        <w:topLinePunct w:val="0"/>
        <w:autoSpaceDE/>
        <w:autoSpaceDN/>
        <w:bidi w:val="0"/>
        <w:adjustRightInd/>
        <w:snapToGrid/>
        <w:spacing w:line="288" w:lineRule="auto"/>
        <w:jc w:val="right"/>
        <w:textAlignment w:val="auto"/>
        <w:rPr>
          <w:rStyle w:val="48"/>
          <w:rFonts w:hint="eastAsia" w:ascii="宋体" w:hAnsi="宋体" w:eastAsia="宋体" w:cs="宋体"/>
          <w:b w:val="0"/>
          <w:color w:val="auto"/>
          <w:spacing w:val="12"/>
          <w:sz w:val="24"/>
          <w:szCs w:val="24"/>
          <w:highlight w:val="none"/>
          <w:u w:val="single"/>
        </w:rPr>
      </w:pPr>
      <w:r>
        <w:rPr>
          <w:rStyle w:val="48"/>
          <w:rFonts w:hint="eastAsia" w:ascii="宋体" w:hAnsi="宋体" w:eastAsia="宋体" w:cs="宋体"/>
          <w:b w:val="0"/>
          <w:color w:val="auto"/>
          <w:spacing w:val="12"/>
          <w:sz w:val="24"/>
          <w:szCs w:val="24"/>
          <w:highlight w:val="none"/>
        </w:rPr>
        <w:t>供应商名称：       （盖单位章）</w:t>
      </w:r>
    </w:p>
    <w:p w14:paraId="74BDFA5A">
      <w:pPr>
        <w:pStyle w:val="5"/>
        <w:pageBreakBefore w:val="0"/>
        <w:widowControl/>
        <w:kinsoku/>
        <w:wordWrap w:val="0"/>
        <w:overflowPunct/>
        <w:topLinePunct w:val="0"/>
        <w:autoSpaceDE/>
        <w:autoSpaceDN/>
        <w:bidi w:val="0"/>
        <w:adjustRightInd/>
        <w:snapToGrid/>
        <w:spacing w:line="288" w:lineRule="auto"/>
        <w:ind w:right="-1" w:firstLine="264" w:firstLineChars="100"/>
        <w:jc w:val="right"/>
        <w:textAlignment w:val="auto"/>
        <w:rPr>
          <w:rFonts w:hint="default" w:ascii="宋体" w:hAnsi="宋体" w:eastAsia="宋体" w:cs="宋体"/>
          <w:b w:val="0"/>
          <w:color w:val="auto"/>
          <w:sz w:val="24"/>
          <w:szCs w:val="24"/>
          <w:highlight w:val="none"/>
          <w:lang w:val="en-US" w:eastAsia="zh-CN"/>
        </w:rPr>
      </w:pPr>
      <w:r>
        <w:rPr>
          <w:rStyle w:val="48"/>
          <w:rFonts w:hint="eastAsia" w:ascii="宋体" w:hAnsi="宋体" w:eastAsia="宋体" w:cs="宋体"/>
          <w:b w:val="0"/>
          <w:bCs w:val="0"/>
          <w:color w:val="auto"/>
          <w:spacing w:val="12"/>
          <w:sz w:val="24"/>
          <w:szCs w:val="24"/>
          <w:highlight w:val="none"/>
        </w:rPr>
        <w:t>日     期：     年   月   日</w:t>
      </w:r>
      <w:r>
        <w:rPr>
          <w:rStyle w:val="48"/>
          <w:rFonts w:hint="eastAsia" w:ascii="宋体" w:hAnsi="宋体" w:eastAsia="宋体" w:cs="宋体"/>
          <w:b w:val="0"/>
          <w:bCs w:val="0"/>
          <w:color w:val="auto"/>
          <w:spacing w:val="12"/>
          <w:sz w:val="24"/>
          <w:szCs w:val="24"/>
          <w:highlight w:val="none"/>
          <w:lang w:val="en-US" w:eastAsia="zh-CN"/>
        </w:rPr>
        <w:t xml:space="preserve">  </w:t>
      </w:r>
    </w:p>
    <w:p w14:paraId="227B5EBE">
      <w:pPr>
        <w:rPr>
          <w:rFonts w:hint="eastAsia" w:ascii="宋体" w:hAnsi="宋体" w:eastAsia="宋体" w:cs="宋体"/>
          <w:color w:val="auto"/>
          <w:sz w:val="32"/>
          <w:szCs w:val="32"/>
          <w:highlight w:val="yellow"/>
        </w:rPr>
      </w:pPr>
      <w:r>
        <w:rPr>
          <w:rFonts w:hint="eastAsia" w:ascii="宋体" w:hAnsi="宋体" w:eastAsia="宋体" w:cs="宋体"/>
          <w:color w:val="auto"/>
          <w:sz w:val="32"/>
          <w:szCs w:val="32"/>
          <w:highlight w:val="none"/>
        </w:rPr>
        <w:br w:type="page"/>
      </w:r>
    </w:p>
    <w:p w14:paraId="2CE64E55">
      <w:pPr>
        <w:spacing w:line="360" w:lineRule="auto"/>
        <w:jc w:val="center"/>
        <w:rPr>
          <w:rFonts w:hint="eastAsia" w:ascii="宋体" w:hAnsi="宋体" w:eastAsia="宋体" w:cs="宋体"/>
          <w:b/>
          <w:color w:val="auto"/>
          <w:sz w:val="36"/>
          <w:szCs w:val="36"/>
          <w:highlight w:val="none"/>
        </w:rPr>
      </w:pPr>
    </w:p>
    <w:p w14:paraId="2D4AECED">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val="en-US" w:eastAsia="zh-CN"/>
        </w:rPr>
        <w:t>十一、</w:t>
      </w:r>
      <w:r>
        <w:rPr>
          <w:rFonts w:hint="eastAsia" w:ascii="宋体" w:hAnsi="宋体" w:eastAsia="宋体" w:cs="宋体"/>
          <w:b/>
          <w:color w:val="auto"/>
          <w:sz w:val="36"/>
          <w:szCs w:val="36"/>
          <w:highlight w:val="none"/>
        </w:rPr>
        <w:t>商务条款偏离表</w:t>
      </w:r>
    </w:p>
    <w:p w14:paraId="59CE4434">
      <w:pPr>
        <w:pStyle w:val="25"/>
        <w:spacing w:line="360" w:lineRule="auto"/>
        <w:ind w:firstLine="480" w:firstLineChars="200"/>
        <w:outlineLvl w:val="0"/>
        <w:rPr>
          <w:rFonts w:hint="eastAsia" w:ascii="宋体" w:hAnsi="宋体" w:cs="宋体"/>
          <w:sz w:val="24"/>
          <w:szCs w:val="24"/>
          <w:highlight w:val="none"/>
        </w:rPr>
      </w:pPr>
      <w:r>
        <w:rPr>
          <w:rFonts w:hint="eastAsia" w:ascii="宋体" w:hAnsi="宋体" w:cs="宋体"/>
          <w:sz w:val="24"/>
          <w:szCs w:val="24"/>
          <w:highlight w:val="none"/>
        </w:rPr>
        <w:t xml:space="preserve">项目名称：              </w:t>
      </w:r>
      <w:r>
        <w:rPr>
          <w:rFonts w:hint="eastAsia" w:hAnsi="宋体" w:cs="宋体"/>
          <w:sz w:val="24"/>
          <w:szCs w:val="24"/>
          <w:highlight w:val="none"/>
          <w:lang w:val="en-US" w:eastAsia="zh-CN"/>
        </w:rPr>
        <w:t xml:space="preserve"> </w:t>
      </w:r>
      <w:r>
        <w:rPr>
          <w:rFonts w:hint="eastAsia" w:ascii="宋体" w:hAnsi="宋体" w:cs="宋体"/>
          <w:sz w:val="24"/>
          <w:szCs w:val="24"/>
          <w:highlight w:val="none"/>
        </w:rPr>
        <w:t xml:space="preserve">         </w:t>
      </w:r>
      <w:r>
        <w:rPr>
          <w:rFonts w:hint="eastAsia" w:hAnsi="宋体" w:cs="宋体"/>
          <w:sz w:val="24"/>
          <w:szCs w:val="24"/>
          <w:highlight w:val="none"/>
          <w:lang w:val="en-US" w:eastAsia="zh-CN"/>
        </w:rPr>
        <w:t xml:space="preserve">        </w:t>
      </w:r>
      <w:r>
        <w:rPr>
          <w:rFonts w:hint="eastAsia" w:ascii="宋体" w:hAnsi="宋体" w:cs="宋体"/>
          <w:sz w:val="24"/>
          <w:szCs w:val="24"/>
          <w:highlight w:val="none"/>
        </w:rPr>
        <w:t>项目编号：</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260"/>
        <w:gridCol w:w="3060"/>
        <w:gridCol w:w="3090"/>
        <w:gridCol w:w="888"/>
        <w:gridCol w:w="748"/>
      </w:tblGrid>
      <w:tr w14:paraId="57AE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noWrap w:val="0"/>
            <w:vAlign w:val="center"/>
          </w:tcPr>
          <w:p w14:paraId="60A36DBC">
            <w:pPr>
              <w:spacing w:line="360" w:lineRule="auto"/>
              <w:jc w:val="center"/>
              <w:outlineLvl w:val="0"/>
              <w:rPr>
                <w:rFonts w:hint="eastAsia" w:ascii="宋体" w:hAnsi="宋体" w:cs="宋体"/>
                <w:sz w:val="24"/>
                <w:szCs w:val="24"/>
                <w:highlight w:val="none"/>
              </w:rPr>
            </w:pPr>
            <w:r>
              <w:rPr>
                <w:rFonts w:hint="eastAsia" w:ascii="宋体" w:hAnsi="宋体" w:cs="宋体"/>
                <w:sz w:val="24"/>
                <w:szCs w:val="24"/>
                <w:highlight w:val="none"/>
              </w:rPr>
              <w:t>序号</w:t>
            </w:r>
          </w:p>
        </w:tc>
        <w:tc>
          <w:tcPr>
            <w:tcW w:w="1260" w:type="dxa"/>
            <w:noWrap w:val="0"/>
            <w:vAlign w:val="center"/>
          </w:tcPr>
          <w:p w14:paraId="7FFE8AAC">
            <w:pPr>
              <w:spacing w:line="360" w:lineRule="auto"/>
              <w:jc w:val="center"/>
              <w:outlineLvl w:val="0"/>
              <w:rPr>
                <w:rFonts w:hint="eastAsia" w:ascii="宋体" w:hAnsi="宋体" w:cs="宋体"/>
                <w:sz w:val="24"/>
                <w:szCs w:val="24"/>
                <w:highlight w:val="none"/>
              </w:rPr>
            </w:pPr>
            <w:r>
              <w:rPr>
                <w:rFonts w:hint="eastAsia" w:ascii="宋体" w:hAnsi="宋体" w:cs="宋体"/>
                <w:sz w:val="24"/>
                <w:szCs w:val="24"/>
                <w:highlight w:val="none"/>
              </w:rPr>
              <w:t>货物名称</w:t>
            </w:r>
          </w:p>
        </w:tc>
        <w:tc>
          <w:tcPr>
            <w:tcW w:w="3060" w:type="dxa"/>
            <w:noWrap w:val="0"/>
            <w:vAlign w:val="center"/>
          </w:tcPr>
          <w:p w14:paraId="1EE3D963">
            <w:pPr>
              <w:spacing w:line="360" w:lineRule="auto"/>
              <w:jc w:val="center"/>
              <w:outlineLvl w:val="0"/>
              <w:rPr>
                <w:rFonts w:hint="eastAsia" w:ascii="宋体" w:hAnsi="宋体" w:cs="宋体"/>
                <w:sz w:val="24"/>
                <w:szCs w:val="24"/>
                <w:highlight w:val="none"/>
              </w:rPr>
            </w:pPr>
            <w:r>
              <w:rPr>
                <w:rFonts w:hint="eastAsia" w:ascii="宋体" w:hAnsi="宋体" w:cs="宋体"/>
                <w:sz w:val="24"/>
                <w:szCs w:val="24"/>
                <w:highlight w:val="none"/>
              </w:rPr>
              <w:t>招标文件规定的商务条款</w:t>
            </w:r>
          </w:p>
        </w:tc>
        <w:tc>
          <w:tcPr>
            <w:tcW w:w="3090" w:type="dxa"/>
            <w:noWrap w:val="0"/>
            <w:vAlign w:val="center"/>
          </w:tcPr>
          <w:p w14:paraId="4013A427">
            <w:pPr>
              <w:spacing w:line="360" w:lineRule="auto"/>
              <w:jc w:val="center"/>
              <w:outlineLvl w:val="0"/>
              <w:rPr>
                <w:rFonts w:hint="eastAsia" w:ascii="宋体" w:hAnsi="宋体" w:cs="宋体"/>
                <w:sz w:val="24"/>
                <w:szCs w:val="24"/>
                <w:highlight w:val="none"/>
              </w:rPr>
            </w:pPr>
            <w:r>
              <w:rPr>
                <w:rFonts w:hint="eastAsia" w:ascii="宋体" w:hAnsi="宋体" w:cs="宋体"/>
                <w:sz w:val="24"/>
                <w:szCs w:val="24"/>
                <w:highlight w:val="none"/>
              </w:rPr>
              <w:t>投标文件对应的商务条款</w:t>
            </w:r>
          </w:p>
        </w:tc>
        <w:tc>
          <w:tcPr>
            <w:tcW w:w="888" w:type="dxa"/>
            <w:noWrap w:val="0"/>
            <w:vAlign w:val="center"/>
          </w:tcPr>
          <w:p w14:paraId="2D7953BF">
            <w:pPr>
              <w:spacing w:line="360" w:lineRule="auto"/>
              <w:jc w:val="center"/>
              <w:outlineLvl w:val="0"/>
              <w:rPr>
                <w:rFonts w:hint="eastAsia" w:ascii="宋体" w:hAnsi="宋体" w:cs="宋体"/>
                <w:sz w:val="24"/>
                <w:szCs w:val="24"/>
                <w:highlight w:val="none"/>
              </w:rPr>
            </w:pPr>
            <w:r>
              <w:rPr>
                <w:rFonts w:hint="eastAsia" w:ascii="宋体" w:hAnsi="宋体" w:cs="宋体"/>
                <w:sz w:val="24"/>
                <w:szCs w:val="24"/>
                <w:highlight w:val="none"/>
              </w:rPr>
              <w:t>是否偏离</w:t>
            </w:r>
          </w:p>
        </w:tc>
        <w:tc>
          <w:tcPr>
            <w:tcW w:w="748" w:type="dxa"/>
            <w:noWrap w:val="0"/>
            <w:vAlign w:val="center"/>
          </w:tcPr>
          <w:p w14:paraId="77522FD7">
            <w:pPr>
              <w:spacing w:line="360" w:lineRule="auto"/>
              <w:jc w:val="center"/>
              <w:outlineLvl w:val="0"/>
              <w:rPr>
                <w:rFonts w:hint="eastAsia" w:ascii="宋体" w:hAnsi="宋体" w:cs="宋体"/>
                <w:sz w:val="24"/>
                <w:szCs w:val="24"/>
                <w:highlight w:val="none"/>
              </w:rPr>
            </w:pPr>
            <w:r>
              <w:rPr>
                <w:rFonts w:hint="eastAsia" w:ascii="宋体" w:hAnsi="宋体" w:cs="宋体"/>
                <w:sz w:val="24"/>
                <w:szCs w:val="24"/>
                <w:highlight w:val="none"/>
              </w:rPr>
              <w:t>备注</w:t>
            </w:r>
          </w:p>
        </w:tc>
      </w:tr>
      <w:tr w14:paraId="4D10C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noWrap w:val="0"/>
            <w:vAlign w:val="top"/>
          </w:tcPr>
          <w:p w14:paraId="27D0F7D7">
            <w:pPr>
              <w:spacing w:line="360" w:lineRule="auto"/>
              <w:outlineLvl w:val="0"/>
              <w:rPr>
                <w:rFonts w:hint="eastAsia" w:ascii="宋体" w:hAnsi="宋体" w:cs="宋体"/>
                <w:sz w:val="24"/>
                <w:szCs w:val="24"/>
                <w:highlight w:val="none"/>
              </w:rPr>
            </w:pPr>
          </w:p>
        </w:tc>
        <w:tc>
          <w:tcPr>
            <w:tcW w:w="1260" w:type="dxa"/>
            <w:noWrap w:val="0"/>
            <w:vAlign w:val="top"/>
          </w:tcPr>
          <w:p w14:paraId="7E520232">
            <w:pPr>
              <w:spacing w:line="360" w:lineRule="auto"/>
              <w:outlineLvl w:val="0"/>
              <w:rPr>
                <w:rFonts w:hint="eastAsia" w:ascii="宋体" w:hAnsi="宋体" w:cs="宋体"/>
                <w:sz w:val="24"/>
                <w:szCs w:val="24"/>
                <w:highlight w:val="none"/>
              </w:rPr>
            </w:pPr>
          </w:p>
        </w:tc>
        <w:tc>
          <w:tcPr>
            <w:tcW w:w="3060" w:type="dxa"/>
            <w:noWrap w:val="0"/>
            <w:vAlign w:val="top"/>
          </w:tcPr>
          <w:p w14:paraId="579C7B92">
            <w:pPr>
              <w:spacing w:line="360" w:lineRule="auto"/>
              <w:outlineLvl w:val="0"/>
              <w:rPr>
                <w:rFonts w:hint="eastAsia" w:ascii="宋体" w:hAnsi="宋体" w:cs="宋体"/>
                <w:sz w:val="24"/>
                <w:szCs w:val="24"/>
                <w:highlight w:val="none"/>
              </w:rPr>
            </w:pPr>
          </w:p>
        </w:tc>
        <w:tc>
          <w:tcPr>
            <w:tcW w:w="3090" w:type="dxa"/>
            <w:noWrap w:val="0"/>
            <w:vAlign w:val="top"/>
          </w:tcPr>
          <w:p w14:paraId="2D868A8E">
            <w:pPr>
              <w:spacing w:line="360" w:lineRule="auto"/>
              <w:outlineLvl w:val="0"/>
              <w:rPr>
                <w:rFonts w:hint="eastAsia" w:ascii="宋体" w:hAnsi="宋体" w:cs="宋体"/>
                <w:sz w:val="24"/>
                <w:szCs w:val="24"/>
                <w:highlight w:val="none"/>
              </w:rPr>
            </w:pPr>
          </w:p>
        </w:tc>
        <w:tc>
          <w:tcPr>
            <w:tcW w:w="888" w:type="dxa"/>
            <w:noWrap w:val="0"/>
            <w:vAlign w:val="top"/>
          </w:tcPr>
          <w:p w14:paraId="3377E64A">
            <w:pPr>
              <w:spacing w:line="360" w:lineRule="auto"/>
              <w:outlineLvl w:val="0"/>
              <w:rPr>
                <w:rFonts w:hint="eastAsia" w:ascii="宋体" w:hAnsi="宋体" w:cs="宋体"/>
                <w:sz w:val="24"/>
                <w:szCs w:val="24"/>
                <w:highlight w:val="none"/>
              </w:rPr>
            </w:pPr>
          </w:p>
        </w:tc>
        <w:tc>
          <w:tcPr>
            <w:tcW w:w="748" w:type="dxa"/>
            <w:noWrap w:val="0"/>
            <w:vAlign w:val="top"/>
          </w:tcPr>
          <w:p w14:paraId="5AC8368F">
            <w:pPr>
              <w:spacing w:line="360" w:lineRule="auto"/>
              <w:outlineLvl w:val="0"/>
              <w:rPr>
                <w:rFonts w:hint="eastAsia" w:ascii="宋体" w:hAnsi="宋体" w:cs="宋体"/>
                <w:sz w:val="24"/>
                <w:szCs w:val="24"/>
                <w:highlight w:val="none"/>
              </w:rPr>
            </w:pPr>
          </w:p>
        </w:tc>
      </w:tr>
      <w:tr w14:paraId="5CD6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468" w:type="dxa"/>
            <w:noWrap w:val="0"/>
            <w:vAlign w:val="top"/>
          </w:tcPr>
          <w:p w14:paraId="200BC674">
            <w:pPr>
              <w:spacing w:line="360" w:lineRule="auto"/>
              <w:outlineLvl w:val="0"/>
              <w:rPr>
                <w:rFonts w:hint="eastAsia" w:ascii="宋体" w:hAnsi="宋体" w:cs="宋体"/>
                <w:sz w:val="24"/>
                <w:szCs w:val="24"/>
                <w:highlight w:val="none"/>
              </w:rPr>
            </w:pPr>
          </w:p>
        </w:tc>
        <w:tc>
          <w:tcPr>
            <w:tcW w:w="1260" w:type="dxa"/>
            <w:noWrap w:val="0"/>
            <w:vAlign w:val="top"/>
          </w:tcPr>
          <w:p w14:paraId="3279C1F4">
            <w:pPr>
              <w:spacing w:line="360" w:lineRule="auto"/>
              <w:outlineLvl w:val="0"/>
              <w:rPr>
                <w:rFonts w:hint="eastAsia" w:ascii="宋体" w:hAnsi="宋体" w:cs="宋体"/>
                <w:sz w:val="24"/>
                <w:szCs w:val="24"/>
                <w:highlight w:val="none"/>
              </w:rPr>
            </w:pPr>
          </w:p>
        </w:tc>
        <w:tc>
          <w:tcPr>
            <w:tcW w:w="3060" w:type="dxa"/>
            <w:noWrap w:val="0"/>
            <w:vAlign w:val="top"/>
          </w:tcPr>
          <w:p w14:paraId="44F4259F">
            <w:pPr>
              <w:spacing w:line="360" w:lineRule="auto"/>
              <w:outlineLvl w:val="0"/>
              <w:rPr>
                <w:rFonts w:hint="eastAsia" w:ascii="宋体" w:hAnsi="宋体" w:cs="宋体"/>
                <w:sz w:val="24"/>
                <w:szCs w:val="24"/>
                <w:highlight w:val="none"/>
              </w:rPr>
            </w:pPr>
          </w:p>
        </w:tc>
        <w:tc>
          <w:tcPr>
            <w:tcW w:w="3090" w:type="dxa"/>
            <w:noWrap w:val="0"/>
            <w:vAlign w:val="top"/>
          </w:tcPr>
          <w:p w14:paraId="03EAF772">
            <w:pPr>
              <w:spacing w:line="360" w:lineRule="auto"/>
              <w:outlineLvl w:val="0"/>
              <w:rPr>
                <w:rFonts w:hint="eastAsia" w:ascii="宋体" w:hAnsi="宋体" w:cs="宋体"/>
                <w:sz w:val="24"/>
                <w:szCs w:val="24"/>
                <w:highlight w:val="none"/>
              </w:rPr>
            </w:pPr>
          </w:p>
        </w:tc>
        <w:tc>
          <w:tcPr>
            <w:tcW w:w="888" w:type="dxa"/>
            <w:noWrap w:val="0"/>
            <w:vAlign w:val="top"/>
          </w:tcPr>
          <w:p w14:paraId="699A26B2">
            <w:pPr>
              <w:spacing w:line="360" w:lineRule="auto"/>
              <w:outlineLvl w:val="0"/>
              <w:rPr>
                <w:rFonts w:hint="eastAsia" w:ascii="宋体" w:hAnsi="宋体" w:cs="宋体"/>
                <w:sz w:val="24"/>
                <w:szCs w:val="24"/>
                <w:highlight w:val="none"/>
              </w:rPr>
            </w:pPr>
          </w:p>
        </w:tc>
        <w:tc>
          <w:tcPr>
            <w:tcW w:w="748" w:type="dxa"/>
            <w:noWrap w:val="0"/>
            <w:vAlign w:val="top"/>
          </w:tcPr>
          <w:p w14:paraId="64536B6C">
            <w:pPr>
              <w:spacing w:line="360" w:lineRule="auto"/>
              <w:outlineLvl w:val="0"/>
              <w:rPr>
                <w:rFonts w:hint="eastAsia" w:ascii="宋体" w:hAnsi="宋体" w:cs="宋体"/>
                <w:sz w:val="24"/>
                <w:szCs w:val="24"/>
                <w:highlight w:val="none"/>
              </w:rPr>
            </w:pPr>
          </w:p>
        </w:tc>
      </w:tr>
      <w:tr w14:paraId="4EE1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noWrap w:val="0"/>
            <w:vAlign w:val="top"/>
          </w:tcPr>
          <w:p w14:paraId="07FDBB7E">
            <w:pPr>
              <w:spacing w:line="360" w:lineRule="auto"/>
              <w:outlineLvl w:val="0"/>
              <w:rPr>
                <w:rFonts w:hint="eastAsia" w:ascii="宋体" w:hAnsi="宋体" w:cs="宋体"/>
                <w:sz w:val="24"/>
                <w:szCs w:val="24"/>
                <w:highlight w:val="none"/>
              </w:rPr>
            </w:pPr>
          </w:p>
        </w:tc>
        <w:tc>
          <w:tcPr>
            <w:tcW w:w="1260" w:type="dxa"/>
            <w:noWrap w:val="0"/>
            <w:vAlign w:val="top"/>
          </w:tcPr>
          <w:p w14:paraId="02E0A540">
            <w:pPr>
              <w:spacing w:line="360" w:lineRule="auto"/>
              <w:outlineLvl w:val="0"/>
              <w:rPr>
                <w:rFonts w:hint="eastAsia" w:ascii="宋体" w:hAnsi="宋体" w:cs="宋体"/>
                <w:sz w:val="24"/>
                <w:szCs w:val="24"/>
                <w:highlight w:val="none"/>
              </w:rPr>
            </w:pPr>
          </w:p>
        </w:tc>
        <w:tc>
          <w:tcPr>
            <w:tcW w:w="3060" w:type="dxa"/>
            <w:noWrap w:val="0"/>
            <w:vAlign w:val="top"/>
          </w:tcPr>
          <w:p w14:paraId="2D3569B7">
            <w:pPr>
              <w:spacing w:line="360" w:lineRule="auto"/>
              <w:outlineLvl w:val="0"/>
              <w:rPr>
                <w:rFonts w:hint="eastAsia" w:ascii="宋体" w:hAnsi="宋体" w:cs="宋体"/>
                <w:sz w:val="24"/>
                <w:szCs w:val="24"/>
                <w:highlight w:val="none"/>
              </w:rPr>
            </w:pPr>
          </w:p>
        </w:tc>
        <w:tc>
          <w:tcPr>
            <w:tcW w:w="3090" w:type="dxa"/>
            <w:noWrap w:val="0"/>
            <w:vAlign w:val="top"/>
          </w:tcPr>
          <w:p w14:paraId="070A1722">
            <w:pPr>
              <w:spacing w:line="360" w:lineRule="auto"/>
              <w:outlineLvl w:val="0"/>
              <w:rPr>
                <w:rFonts w:hint="eastAsia" w:ascii="宋体" w:hAnsi="宋体" w:cs="宋体"/>
                <w:sz w:val="24"/>
                <w:szCs w:val="24"/>
                <w:highlight w:val="none"/>
              </w:rPr>
            </w:pPr>
          </w:p>
        </w:tc>
        <w:tc>
          <w:tcPr>
            <w:tcW w:w="888" w:type="dxa"/>
            <w:noWrap w:val="0"/>
            <w:vAlign w:val="top"/>
          </w:tcPr>
          <w:p w14:paraId="230F39B9">
            <w:pPr>
              <w:spacing w:line="360" w:lineRule="auto"/>
              <w:outlineLvl w:val="0"/>
              <w:rPr>
                <w:rFonts w:hint="eastAsia" w:ascii="宋体" w:hAnsi="宋体" w:cs="宋体"/>
                <w:sz w:val="24"/>
                <w:szCs w:val="24"/>
                <w:highlight w:val="none"/>
              </w:rPr>
            </w:pPr>
          </w:p>
        </w:tc>
        <w:tc>
          <w:tcPr>
            <w:tcW w:w="748" w:type="dxa"/>
            <w:noWrap w:val="0"/>
            <w:vAlign w:val="top"/>
          </w:tcPr>
          <w:p w14:paraId="65986DE7">
            <w:pPr>
              <w:spacing w:line="360" w:lineRule="auto"/>
              <w:outlineLvl w:val="0"/>
              <w:rPr>
                <w:rFonts w:hint="eastAsia" w:ascii="宋体" w:hAnsi="宋体" w:cs="宋体"/>
                <w:sz w:val="24"/>
                <w:szCs w:val="24"/>
                <w:highlight w:val="none"/>
              </w:rPr>
            </w:pPr>
          </w:p>
        </w:tc>
      </w:tr>
    </w:tbl>
    <w:p w14:paraId="5959B371">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说明：</w:t>
      </w:r>
    </w:p>
    <w:p w14:paraId="272D5811">
      <w:pPr>
        <w:pStyle w:val="17"/>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1.商务条款均应根据投标文件对招标文件的偏离情况相对应地填列。</w:t>
      </w:r>
    </w:p>
    <w:p w14:paraId="37FA60E6">
      <w:pPr>
        <w:pStyle w:val="17"/>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2.商务条款主要填列供货地点、付款条件、合同履行期限等重要条款方面的偏离情况。</w:t>
      </w:r>
    </w:p>
    <w:p w14:paraId="35AF913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3.表内如果填列不全，可另外附页说明并按规定签字和加盖公章。             </w:t>
      </w:r>
    </w:p>
    <w:p w14:paraId="32C2976C">
      <w:pPr>
        <w:spacing w:line="360" w:lineRule="auto"/>
        <w:ind w:firstLine="480" w:firstLineChars="200"/>
        <w:outlineLvl w:val="0"/>
        <w:rPr>
          <w:rFonts w:hint="eastAsia" w:ascii="宋体" w:hAnsi="宋体" w:cs="宋体"/>
          <w:sz w:val="24"/>
          <w:szCs w:val="24"/>
          <w:highlight w:val="none"/>
        </w:rPr>
      </w:pPr>
      <w:r>
        <w:rPr>
          <w:rFonts w:hint="eastAsia" w:ascii="宋体" w:hAnsi="宋体" w:cs="宋体"/>
          <w:sz w:val="24"/>
          <w:szCs w:val="24"/>
          <w:highlight w:val="none"/>
        </w:rPr>
        <w:t>4.采购人要求投标人认真填写本表。</w:t>
      </w:r>
    </w:p>
    <w:p w14:paraId="5E878D60">
      <w:pPr>
        <w:spacing w:line="360" w:lineRule="auto"/>
        <w:ind w:firstLine="480" w:firstLineChars="200"/>
        <w:outlineLvl w:val="0"/>
        <w:rPr>
          <w:rFonts w:hint="eastAsia" w:ascii="宋体" w:hAnsi="宋体" w:cs="宋体"/>
          <w:sz w:val="24"/>
          <w:szCs w:val="24"/>
          <w:highlight w:val="none"/>
        </w:rPr>
      </w:pPr>
      <w:r>
        <w:rPr>
          <w:rFonts w:hint="eastAsia" w:ascii="宋体" w:hAnsi="宋体" w:cs="宋体"/>
          <w:sz w:val="24"/>
          <w:szCs w:val="24"/>
          <w:highlight w:val="none"/>
        </w:rPr>
        <w:t>5.此表可根据需要自行拉长加宽。</w:t>
      </w:r>
    </w:p>
    <w:tbl>
      <w:tblPr>
        <w:tblStyle w:val="45"/>
        <w:tblpPr w:leftFromText="180" w:rightFromText="180" w:vertAnchor="text" w:horzAnchor="page" w:tblpX="1471" w:tblpY="814"/>
        <w:tblOverlap w:val="never"/>
        <w:tblW w:w="8528" w:type="dxa"/>
        <w:tblInd w:w="0" w:type="dxa"/>
        <w:tblLayout w:type="fixed"/>
        <w:tblCellMar>
          <w:top w:w="0" w:type="dxa"/>
          <w:left w:w="108" w:type="dxa"/>
          <w:bottom w:w="0" w:type="dxa"/>
          <w:right w:w="108" w:type="dxa"/>
        </w:tblCellMar>
      </w:tblPr>
      <w:tblGrid>
        <w:gridCol w:w="5353"/>
        <w:gridCol w:w="3175"/>
      </w:tblGrid>
      <w:tr w14:paraId="273A5972">
        <w:tblPrEx>
          <w:tblCellMar>
            <w:top w:w="0" w:type="dxa"/>
            <w:left w:w="108" w:type="dxa"/>
            <w:bottom w:w="0" w:type="dxa"/>
            <w:right w:w="108" w:type="dxa"/>
          </w:tblCellMar>
        </w:tblPrEx>
        <w:tc>
          <w:tcPr>
            <w:tcW w:w="5353" w:type="dxa"/>
            <w:shd w:val="clear" w:color="auto" w:fill="auto"/>
          </w:tcPr>
          <w:p w14:paraId="47FABEFC">
            <w:pPr>
              <w:keepNext w:val="0"/>
              <w:keepLines w:val="0"/>
              <w:pageBreakBefore w:val="0"/>
              <w:kinsoku/>
              <w:wordWrap/>
              <w:overflowPunct w:val="0"/>
              <w:topLinePunct w:val="0"/>
              <w:autoSpaceDE/>
              <w:autoSpaceDN/>
              <w:bidi w:val="0"/>
              <w:adjustRightInd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供应商名称（加盖公章）：</w:t>
            </w:r>
          </w:p>
        </w:tc>
        <w:tc>
          <w:tcPr>
            <w:tcW w:w="3175" w:type="dxa"/>
            <w:shd w:val="clear" w:color="auto" w:fill="auto"/>
          </w:tcPr>
          <w:p w14:paraId="7AAB9564">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c>
      </w:tr>
      <w:tr w14:paraId="1E242AC5">
        <w:tblPrEx>
          <w:tblCellMar>
            <w:top w:w="0" w:type="dxa"/>
            <w:left w:w="108" w:type="dxa"/>
            <w:bottom w:w="0" w:type="dxa"/>
            <w:right w:w="108" w:type="dxa"/>
          </w:tblCellMar>
        </w:tblPrEx>
        <w:tc>
          <w:tcPr>
            <w:tcW w:w="5353" w:type="dxa"/>
            <w:shd w:val="clear" w:color="auto" w:fill="auto"/>
          </w:tcPr>
          <w:p w14:paraId="391A2B7D">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p w14:paraId="55699D35">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tc>
        <w:tc>
          <w:tcPr>
            <w:tcW w:w="3175" w:type="dxa"/>
            <w:shd w:val="clear" w:color="auto" w:fill="auto"/>
          </w:tcPr>
          <w:p w14:paraId="68F5539C">
            <w:pPr>
              <w:keepNext w:val="0"/>
              <w:keepLines w:val="0"/>
              <w:pageBreakBefore w:val="0"/>
              <w:kinsoku/>
              <w:wordWrap/>
              <w:topLinePunct w:val="0"/>
              <w:autoSpaceDE/>
              <w:autoSpaceDN/>
              <w:bidi w:val="0"/>
              <w:snapToGrid/>
              <w:spacing w:line="288" w:lineRule="auto"/>
              <w:textAlignment w:val="auto"/>
              <w:rPr>
                <w:rFonts w:hint="eastAsia" w:ascii="宋体" w:hAnsi="宋体" w:eastAsia="宋体" w:cs="宋体"/>
                <w:color w:val="auto"/>
                <w:sz w:val="24"/>
                <w:szCs w:val="24"/>
                <w:highlight w:val="none"/>
              </w:rPr>
            </w:pPr>
          </w:p>
        </w:tc>
      </w:tr>
    </w:tbl>
    <w:p w14:paraId="6392218B">
      <w:pPr>
        <w:spacing w:line="360" w:lineRule="auto"/>
        <w:jc w:val="center"/>
        <w:rPr>
          <w:rFonts w:hint="eastAsia" w:ascii="宋体" w:hAnsi="宋体" w:eastAsia="宋体" w:cs="宋体"/>
          <w:b/>
          <w:color w:val="auto"/>
          <w:sz w:val="36"/>
          <w:szCs w:val="36"/>
          <w:highlight w:val="none"/>
        </w:rPr>
      </w:pPr>
    </w:p>
    <w:p w14:paraId="3B3193BA">
      <w:pPr>
        <w:pStyle w:val="18"/>
        <w:rPr>
          <w:rFonts w:hint="eastAsia" w:ascii="宋体" w:hAnsi="宋体" w:eastAsia="宋体" w:cs="宋体"/>
          <w:b/>
          <w:color w:val="auto"/>
          <w:sz w:val="36"/>
          <w:szCs w:val="36"/>
          <w:highlight w:val="none"/>
        </w:rPr>
      </w:pPr>
    </w:p>
    <w:p w14:paraId="419046EF">
      <w:pPr>
        <w:pStyle w:val="18"/>
        <w:rPr>
          <w:rFonts w:hint="eastAsia" w:ascii="宋体" w:hAnsi="宋体" w:eastAsia="宋体" w:cs="宋体"/>
          <w:b/>
          <w:color w:val="auto"/>
          <w:sz w:val="36"/>
          <w:szCs w:val="36"/>
          <w:highlight w:val="none"/>
        </w:rPr>
      </w:pPr>
    </w:p>
    <w:p w14:paraId="47D8C253">
      <w:pPr>
        <w:pStyle w:val="18"/>
        <w:rPr>
          <w:rFonts w:hint="eastAsia" w:ascii="宋体" w:hAnsi="宋体" w:eastAsia="宋体" w:cs="宋体"/>
          <w:b/>
          <w:color w:val="auto"/>
          <w:sz w:val="36"/>
          <w:szCs w:val="36"/>
          <w:highlight w:val="none"/>
        </w:rPr>
      </w:pPr>
    </w:p>
    <w:p w14:paraId="3F91DC4A">
      <w:pPr>
        <w:pStyle w:val="18"/>
        <w:rPr>
          <w:rFonts w:hint="eastAsia" w:ascii="宋体" w:hAnsi="宋体" w:eastAsia="宋体" w:cs="宋体"/>
          <w:b/>
          <w:color w:val="auto"/>
          <w:sz w:val="36"/>
          <w:szCs w:val="36"/>
          <w:highlight w:val="none"/>
        </w:rPr>
      </w:pPr>
    </w:p>
    <w:p w14:paraId="135D6DB9">
      <w:pPr>
        <w:pStyle w:val="18"/>
        <w:rPr>
          <w:rFonts w:hint="eastAsia" w:ascii="宋体" w:hAnsi="宋体" w:eastAsia="宋体" w:cs="宋体"/>
          <w:b/>
          <w:color w:val="auto"/>
          <w:sz w:val="36"/>
          <w:szCs w:val="36"/>
          <w:highlight w:val="none"/>
        </w:rPr>
      </w:pPr>
    </w:p>
    <w:p w14:paraId="0E705BED">
      <w:pPr>
        <w:pStyle w:val="18"/>
        <w:rPr>
          <w:rFonts w:hint="eastAsia" w:ascii="宋体" w:hAnsi="宋体" w:eastAsia="宋体" w:cs="宋体"/>
          <w:b/>
          <w:color w:val="auto"/>
          <w:sz w:val="36"/>
          <w:szCs w:val="36"/>
          <w:highlight w:val="none"/>
        </w:rPr>
      </w:pPr>
    </w:p>
    <w:p w14:paraId="0F158736">
      <w:pPr>
        <w:pStyle w:val="18"/>
        <w:rPr>
          <w:rFonts w:hint="eastAsia" w:ascii="宋体" w:hAnsi="宋体" w:eastAsia="宋体" w:cs="宋体"/>
          <w:b/>
          <w:color w:val="auto"/>
          <w:sz w:val="36"/>
          <w:szCs w:val="36"/>
          <w:highlight w:val="none"/>
        </w:rPr>
      </w:pPr>
    </w:p>
    <w:p w14:paraId="5CE9129A">
      <w:pPr>
        <w:pStyle w:val="18"/>
        <w:rPr>
          <w:rFonts w:hint="eastAsia" w:ascii="宋体" w:hAnsi="宋体" w:eastAsia="宋体" w:cs="宋体"/>
          <w:b/>
          <w:color w:val="auto"/>
          <w:sz w:val="36"/>
          <w:szCs w:val="36"/>
          <w:highlight w:val="none"/>
        </w:rPr>
      </w:pPr>
    </w:p>
    <w:p w14:paraId="4228639E">
      <w:pPr>
        <w:pStyle w:val="18"/>
        <w:rPr>
          <w:rFonts w:hint="eastAsia" w:ascii="宋体" w:hAnsi="宋体" w:eastAsia="宋体" w:cs="宋体"/>
          <w:b/>
          <w:color w:val="auto"/>
          <w:sz w:val="36"/>
          <w:szCs w:val="36"/>
          <w:highlight w:val="none"/>
        </w:rPr>
      </w:pPr>
    </w:p>
    <w:p w14:paraId="26EA2658">
      <w:pPr>
        <w:pStyle w:val="18"/>
        <w:rPr>
          <w:rFonts w:hint="eastAsia" w:ascii="宋体" w:hAnsi="宋体" w:eastAsia="宋体" w:cs="宋体"/>
          <w:b/>
          <w:color w:val="auto"/>
          <w:sz w:val="36"/>
          <w:szCs w:val="36"/>
          <w:highlight w:val="none"/>
        </w:rPr>
      </w:pPr>
    </w:p>
    <w:p w14:paraId="6FDA84F1">
      <w:pPr>
        <w:pStyle w:val="18"/>
        <w:rPr>
          <w:rFonts w:hint="eastAsia" w:ascii="宋体" w:hAnsi="宋体" w:eastAsia="宋体" w:cs="宋体"/>
          <w:b/>
          <w:color w:val="auto"/>
          <w:sz w:val="36"/>
          <w:szCs w:val="36"/>
          <w:highlight w:val="none"/>
        </w:rPr>
      </w:pPr>
    </w:p>
    <w:bookmarkEnd w:id="51"/>
    <w:bookmarkEnd w:id="52"/>
    <w:bookmarkEnd w:id="53"/>
    <w:bookmarkEnd w:id="54"/>
    <w:p w14:paraId="58D4CBC8">
      <w:pPr>
        <w:spacing w:line="360" w:lineRule="auto"/>
        <w:jc w:val="center"/>
        <w:rPr>
          <w:rFonts w:hint="eastAsia" w:ascii="宋体" w:hAnsi="宋体" w:eastAsia="宋体" w:cs="宋体"/>
          <w:b/>
          <w:color w:val="auto"/>
          <w:sz w:val="36"/>
          <w:szCs w:val="36"/>
          <w:highlight w:val="none"/>
        </w:rPr>
      </w:pPr>
    </w:p>
    <w:p w14:paraId="5BE7760F">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十、</w:t>
      </w:r>
      <w:r>
        <w:rPr>
          <w:rFonts w:hint="eastAsia" w:ascii="宋体" w:hAnsi="宋体" w:cs="宋体"/>
          <w:b/>
          <w:color w:val="auto"/>
          <w:sz w:val="36"/>
          <w:szCs w:val="36"/>
          <w:highlight w:val="none"/>
          <w:lang w:val="en-US" w:eastAsia="zh-CN"/>
        </w:rPr>
        <w:t>技术</w:t>
      </w:r>
      <w:r>
        <w:rPr>
          <w:rFonts w:hint="eastAsia" w:ascii="宋体" w:hAnsi="宋体" w:eastAsia="宋体" w:cs="宋体"/>
          <w:b/>
          <w:color w:val="auto"/>
          <w:sz w:val="36"/>
          <w:szCs w:val="36"/>
          <w:highlight w:val="none"/>
        </w:rPr>
        <w:t>方案</w:t>
      </w:r>
    </w:p>
    <w:p w14:paraId="052D3C23">
      <w:pPr>
        <w:rPr>
          <w:rFonts w:hint="eastAsia" w:ascii="宋体" w:hAnsi="宋体" w:eastAsia="宋体" w:cs="宋体"/>
          <w:color w:val="auto"/>
          <w:sz w:val="32"/>
          <w:szCs w:val="32"/>
          <w:highlight w:val="none"/>
        </w:rPr>
      </w:pPr>
    </w:p>
    <w:p w14:paraId="6E9E42B4">
      <w:pPr>
        <w:keepNext w:val="0"/>
        <w:keepLines w:val="0"/>
        <w:pageBreakBefore w:val="0"/>
        <w:widowControl/>
        <w:tabs>
          <w:tab w:val="left" w:pos="3780"/>
        </w:tabs>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供应商根据“评标办法”自行编写</w:t>
      </w:r>
    </w:p>
    <w:p w14:paraId="198FE025">
      <w:pPr>
        <w:rPr>
          <w:rFonts w:hint="eastAsia" w:ascii="宋体" w:hAnsi="宋体" w:eastAsia="宋体" w:cs="宋体"/>
          <w:b/>
          <w:color w:val="auto"/>
          <w:spacing w:val="20"/>
          <w:sz w:val="30"/>
          <w:szCs w:val="30"/>
          <w:highlight w:val="none"/>
        </w:rPr>
      </w:pPr>
      <w:r>
        <w:rPr>
          <w:rFonts w:hint="eastAsia" w:ascii="宋体" w:hAnsi="宋体" w:eastAsia="宋体" w:cs="宋体"/>
          <w:b/>
          <w:color w:val="auto"/>
          <w:spacing w:val="20"/>
          <w:sz w:val="30"/>
          <w:szCs w:val="30"/>
          <w:highlight w:val="none"/>
        </w:rPr>
        <w:br w:type="page"/>
      </w:r>
    </w:p>
    <w:p w14:paraId="3567F851">
      <w:pPr>
        <w:spacing w:line="360" w:lineRule="auto"/>
        <w:jc w:val="center"/>
        <w:rPr>
          <w:rFonts w:hint="eastAsia" w:ascii="宋体" w:hAnsi="宋体" w:eastAsia="宋体" w:cs="宋体"/>
          <w:b/>
          <w:color w:val="auto"/>
          <w:sz w:val="36"/>
          <w:szCs w:val="36"/>
          <w:highlight w:val="yellow"/>
        </w:rPr>
      </w:pPr>
    </w:p>
    <w:p w14:paraId="4281E2DA">
      <w:pPr>
        <w:spacing w:line="360" w:lineRule="auto"/>
        <w:jc w:val="center"/>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十</w:t>
      </w:r>
      <w:r>
        <w:rPr>
          <w:rFonts w:hint="eastAsia" w:ascii="宋体" w:hAnsi="宋体" w:cs="宋体"/>
          <w:b/>
          <w:color w:val="auto"/>
          <w:sz w:val="36"/>
          <w:szCs w:val="36"/>
          <w:highlight w:val="none"/>
          <w:lang w:val="en-US" w:eastAsia="zh-CN"/>
        </w:rPr>
        <w:t>一</w:t>
      </w:r>
      <w:r>
        <w:rPr>
          <w:rFonts w:hint="eastAsia" w:ascii="宋体" w:hAnsi="宋体" w:eastAsia="宋体" w:cs="宋体"/>
          <w:b/>
          <w:color w:val="auto"/>
          <w:sz w:val="36"/>
          <w:szCs w:val="36"/>
          <w:highlight w:val="none"/>
        </w:rPr>
        <w:t>、投标保证金</w:t>
      </w:r>
      <w:r>
        <w:rPr>
          <w:rFonts w:hint="eastAsia" w:ascii="宋体" w:hAnsi="宋体" w:cs="宋体"/>
          <w:b/>
          <w:color w:val="auto"/>
          <w:sz w:val="36"/>
          <w:szCs w:val="36"/>
          <w:highlight w:val="none"/>
          <w:lang w:eastAsia="zh-CN"/>
        </w:rPr>
        <w:t>（</w:t>
      </w:r>
      <w:r>
        <w:rPr>
          <w:rFonts w:hint="eastAsia" w:ascii="宋体" w:hAnsi="宋体" w:cs="宋体"/>
          <w:b/>
          <w:color w:val="auto"/>
          <w:sz w:val="36"/>
          <w:szCs w:val="36"/>
          <w:highlight w:val="none"/>
          <w:lang w:val="en-US" w:eastAsia="zh-CN"/>
        </w:rPr>
        <w:t>如有</w:t>
      </w:r>
      <w:r>
        <w:rPr>
          <w:rFonts w:hint="eastAsia" w:ascii="宋体" w:hAnsi="宋体" w:cs="宋体"/>
          <w:b/>
          <w:color w:val="auto"/>
          <w:sz w:val="36"/>
          <w:szCs w:val="36"/>
          <w:highlight w:val="none"/>
          <w:lang w:eastAsia="zh-CN"/>
        </w:rPr>
        <w:t>）</w:t>
      </w:r>
    </w:p>
    <w:tbl>
      <w:tblPr>
        <w:tblStyle w:val="45"/>
        <w:tblW w:w="9120"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120"/>
      </w:tblGrid>
      <w:tr w14:paraId="36E12E6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7" w:hRule="atLeast"/>
          <w:jc w:val="center"/>
        </w:trPr>
        <w:tc>
          <w:tcPr>
            <w:tcW w:w="9120" w:type="dxa"/>
            <w:vAlign w:val="center"/>
          </w:tcPr>
          <w:p w14:paraId="0E25552C">
            <w:pPr>
              <w:keepNext w:val="0"/>
              <w:keepLines w:val="0"/>
              <w:pageBreakBefore w:val="0"/>
              <w:widowControl/>
              <w:kinsoku/>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支票、汇票、本票或者金融机构、担保机构出具的保函</w:t>
            </w:r>
            <w:r>
              <w:rPr>
                <w:rFonts w:hint="eastAsia" w:ascii="宋体" w:hAnsi="宋体" w:eastAsia="宋体" w:cs="宋体"/>
                <w:color w:val="auto"/>
                <w:sz w:val="24"/>
                <w:szCs w:val="24"/>
                <w:highlight w:val="none"/>
              </w:rPr>
              <w:t>（复印件加盖供应商公章）</w:t>
            </w:r>
          </w:p>
        </w:tc>
      </w:tr>
    </w:tbl>
    <w:p w14:paraId="19955B37">
      <w:pPr>
        <w:autoSpaceDE w:val="0"/>
        <w:autoSpaceDN w:val="0"/>
        <w:adjustRightInd w:val="0"/>
        <w:spacing w:before="120" w:beforeLines="50" w:after="120" w:afterLines="50" w:line="400" w:lineRule="exact"/>
        <w:jc w:val="left"/>
        <w:rPr>
          <w:rFonts w:hint="eastAsia" w:ascii="宋体" w:hAnsi="宋体" w:eastAsia="宋体" w:cs="宋体"/>
          <w:b/>
          <w:color w:val="auto"/>
          <w:szCs w:val="21"/>
          <w:highlight w:val="none"/>
        </w:rPr>
      </w:pPr>
      <w:r>
        <w:rPr>
          <w:rFonts w:hint="eastAsia" w:ascii="宋体" w:hAnsi="宋体" w:cs="宋体"/>
          <w:bCs/>
          <w:color w:val="auto"/>
          <w:sz w:val="24"/>
          <w:szCs w:val="24"/>
          <w:highlight w:val="none"/>
          <w:lang w:val="en-US" w:eastAsia="zh-CN"/>
        </w:rPr>
        <w:t>后附投标人开户许可证</w:t>
      </w:r>
      <w:r>
        <w:rPr>
          <w:rFonts w:hint="eastAsia" w:ascii="宋体" w:hAnsi="宋体" w:eastAsia="宋体" w:cs="宋体"/>
          <w:b/>
          <w:color w:val="auto"/>
          <w:szCs w:val="21"/>
          <w:highlight w:val="none"/>
        </w:rPr>
        <w:br w:type="page"/>
      </w:r>
    </w:p>
    <w:p w14:paraId="74B21AEB">
      <w:pPr>
        <w:spacing w:line="360" w:lineRule="auto"/>
        <w:jc w:val="center"/>
        <w:rPr>
          <w:rFonts w:hint="eastAsia" w:ascii="宋体" w:hAnsi="宋体" w:eastAsia="宋体" w:cs="宋体"/>
          <w:b/>
          <w:color w:val="auto"/>
          <w:sz w:val="36"/>
          <w:szCs w:val="36"/>
          <w:highlight w:val="none"/>
        </w:rPr>
      </w:pPr>
    </w:p>
    <w:p w14:paraId="77A531FC">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十</w:t>
      </w:r>
      <w:r>
        <w:rPr>
          <w:rFonts w:hint="eastAsia" w:ascii="宋体" w:hAnsi="宋体" w:cs="宋体"/>
          <w:b/>
          <w:color w:val="auto"/>
          <w:sz w:val="36"/>
          <w:szCs w:val="36"/>
          <w:highlight w:val="none"/>
          <w:lang w:val="en-US" w:eastAsia="zh-CN"/>
        </w:rPr>
        <w:t>二</w:t>
      </w:r>
      <w:r>
        <w:rPr>
          <w:rFonts w:hint="eastAsia" w:ascii="宋体" w:hAnsi="宋体" w:eastAsia="宋体" w:cs="宋体"/>
          <w:b/>
          <w:color w:val="auto"/>
          <w:sz w:val="36"/>
          <w:szCs w:val="36"/>
          <w:highlight w:val="none"/>
        </w:rPr>
        <w:t>、供应商认为有必要提供的其他材料</w:t>
      </w:r>
    </w:p>
    <w:p w14:paraId="0C2A9945">
      <w:pPr>
        <w:rPr>
          <w:rFonts w:hint="eastAsia" w:ascii="宋体" w:hAnsi="宋体" w:eastAsia="宋体" w:cs="宋体"/>
          <w:b/>
          <w:color w:val="auto"/>
          <w:szCs w:val="21"/>
          <w:highlight w:val="none"/>
        </w:rPr>
      </w:pPr>
    </w:p>
    <w:p w14:paraId="2B8A0706">
      <w:pPr>
        <w:jc w:val="center"/>
        <w:rPr>
          <w:rFonts w:hint="eastAsia" w:ascii="宋体" w:hAnsi="宋体" w:eastAsia="宋体" w:cs="宋体"/>
          <w:b/>
          <w:color w:val="auto"/>
          <w:szCs w:val="21"/>
          <w:highlight w:val="none"/>
        </w:rPr>
      </w:pPr>
    </w:p>
    <w:p w14:paraId="0C5B5013">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供应商按招标文件要求自行填写，不作统一格式要求。</w:t>
      </w:r>
      <w:r>
        <w:rPr>
          <w:rFonts w:hint="eastAsia" w:ascii="宋体" w:hAnsi="宋体" w:eastAsia="宋体" w:cs="宋体"/>
          <w:b/>
          <w:color w:val="auto"/>
          <w:sz w:val="24"/>
          <w:szCs w:val="24"/>
          <w:highlight w:val="none"/>
        </w:rPr>
        <w:br w:type="page"/>
      </w:r>
    </w:p>
    <w:p w14:paraId="6B17CE18">
      <w:pPr>
        <w:spacing w:line="360" w:lineRule="auto"/>
        <w:jc w:val="center"/>
        <w:rPr>
          <w:rFonts w:hint="eastAsia" w:ascii="宋体" w:hAnsi="宋体" w:eastAsia="宋体" w:cs="宋体"/>
          <w:b/>
          <w:color w:val="auto"/>
          <w:sz w:val="36"/>
          <w:szCs w:val="36"/>
          <w:highlight w:val="none"/>
        </w:rPr>
      </w:pPr>
    </w:p>
    <w:p w14:paraId="275B25AB">
      <w:pPr>
        <w:jc w:val="center"/>
        <w:rPr>
          <w:rFonts w:hint="eastAsia"/>
          <w:b/>
          <w:bCs/>
          <w:color w:val="auto"/>
          <w:sz w:val="44"/>
          <w:szCs w:val="44"/>
          <w:highlight w:val="none"/>
        </w:rPr>
      </w:pPr>
      <w:r>
        <w:rPr>
          <w:rFonts w:hint="eastAsia"/>
          <w:b/>
          <w:bCs/>
          <w:color w:val="auto"/>
          <w:sz w:val="44"/>
          <w:szCs w:val="44"/>
          <w:highlight w:val="none"/>
        </w:rPr>
        <w:t>中小企业声明函（货物）</w:t>
      </w:r>
    </w:p>
    <w:p w14:paraId="5AC79E26">
      <w:pPr>
        <w:ind w:firstLine="640" w:firstLineChars="200"/>
        <w:rPr>
          <w:rFonts w:hint="eastAsia"/>
          <w:color w:val="auto"/>
          <w:sz w:val="32"/>
          <w:szCs w:val="32"/>
          <w:highlight w:val="none"/>
        </w:rPr>
      </w:pPr>
    </w:p>
    <w:p w14:paraId="0522CA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color w:val="auto"/>
          <w:sz w:val="32"/>
          <w:szCs w:val="32"/>
          <w:highlight w:val="none"/>
        </w:rPr>
      </w:pPr>
      <w:r>
        <w:rPr>
          <w:rFonts w:hint="eastAsia"/>
          <w:color w:val="auto"/>
          <w:sz w:val="32"/>
          <w:szCs w:val="32"/>
          <w:highlight w:val="none"/>
        </w:rPr>
        <w:t>本公司郑重声明，根据《政府采购促进中小企业发展管理办法》（财库﹝2020﹞46 号）的规定，本公司参加</w:t>
      </w:r>
      <w:r>
        <w:rPr>
          <w:rFonts w:hint="eastAsia" w:eastAsia="宋体"/>
          <w:i/>
          <w:color w:val="auto"/>
          <w:sz w:val="32"/>
          <w:szCs w:val="32"/>
          <w:highlight w:val="none"/>
          <w:u w:val="words"/>
        </w:rPr>
        <w:t>（单位名称）</w:t>
      </w:r>
      <w:r>
        <w:rPr>
          <w:rFonts w:hint="eastAsia"/>
          <w:color w:val="auto"/>
          <w:sz w:val="32"/>
          <w:szCs w:val="32"/>
          <w:highlight w:val="none"/>
        </w:rPr>
        <w:t>的</w:t>
      </w:r>
      <w:r>
        <w:rPr>
          <w:rFonts w:hint="eastAsia" w:eastAsia="宋体"/>
          <w:i/>
          <w:color w:val="auto"/>
          <w:sz w:val="32"/>
          <w:szCs w:val="32"/>
          <w:highlight w:val="none"/>
          <w:u w:val="words"/>
        </w:rPr>
        <w:t>（项目名称）</w:t>
      </w:r>
      <w:r>
        <w:rPr>
          <w:rFonts w:hint="eastAsia"/>
          <w:color w:val="auto"/>
          <w:sz w:val="32"/>
          <w:szCs w:val="32"/>
          <w:highlight w:val="none"/>
        </w:rPr>
        <w:t>采购活动，提供的货物全部由符合政策要求的中小企业制造。相关企业的具体情况如下：</w:t>
      </w:r>
    </w:p>
    <w:p w14:paraId="45E52E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color w:val="auto"/>
          <w:sz w:val="32"/>
          <w:szCs w:val="32"/>
          <w:highlight w:val="none"/>
        </w:rPr>
      </w:pPr>
      <w:r>
        <w:rPr>
          <w:rFonts w:hint="eastAsia"/>
          <w:color w:val="auto"/>
          <w:sz w:val="32"/>
          <w:szCs w:val="32"/>
          <w:highlight w:val="none"/>
        </w:rPr>
        <w:t xml:space="preserve">1. </w:t>
      </w:r>
      <w:r>
        <w:rPr>
          <w:rFonts w:hint="eastAsia" w:eastAsia="宋体"/>
          <w:i/>
          <w:color w:val="auto"/>
          <w:sz w:val="32"/>
          <w:szCs w:val="32"/>
          <w:highlight w:val="none"/>
          <w:u w:val="words"/>
        </w:rPr>
        <w:t>（标的名称）</w:t>
      </w:r>
      <w:r>
        <w:rPr>
          <w:rFonts w:hint="eastAsia"/>
          <w:color w:val="auto"/>
          <w:sz w:val="32"/>
          <w:szCs w:val="32"/>
          <w:highlight w:val="none"/>
        </w:rPr>
        <w:t>，属于</w:t>
      </w:r>
      <w:r>
        <w:rPr>
          <w:rFonts w:hint="eastAsia" w:eastAsia="宋体"/>
          <w:i/>
          <w:color w:val="auto"/>
          <w:sz w:val="32"/>
          <w:szCs w:val="32"/>
          <w:highlight w:val="none"/>
          <w:u w:val="words"/>
        </w:rPr>
        <w:t>（</w:t>
      </w:r>
      <w:r>
        <w:rPr>
          <w:rFonts w:hint="eastAsia"/>
          <w:i/>
          <w:color w:val="auto"/>
          <w:sz w:val="32"/>
          <w:szCs w:val="32"/>
          <w:highlight w:val="none"/>
          <w:u w:val="words"/>
          <w:lang w:eastAsia="zh-CN"/>
        </w:rPr>
        <w:t>对照“中小企业声明函附件”中</w:t>
      </w:r>
      <w:r>
        <w:rPr>
          <w:rFonts w:hint="eastAsia" w:eastAsia="宋体"/>
          <w:i/>
          <w:color w:val="auto"/>
          <w:sz w:val="32"/>
          <w:szCs w:val="32"/>
          <w:highlight w:val="none"/>
          <w:u w:val="words"/>
        </w:rPr>
        <w:t>的所属行业</w:t>
      </w:r>
      <w:r>
        <w:rPr>
          <w:rFonts w:hint="eastAsia"/>
          <w:i/>
          <w:color w:val="auto"/>
          <w:sz w:val="32"/>
          <w:szCs w:val="32"/>
          <w:highlight w:val="none"/>
          <w:u w:val="words"/>
          <w:lang w:eastAsia="zh-CN"/>
        </w:rPr>
        <w:t>及划型标准填写</w:t>
      </w:r>
      <w:r>
        <w:rPr>
          <w:rFonts w:hint="eastAsia" w:eastAsia="宋体"/>
          <w:i/>
          <w:color w:val="auto"/>
          <w:sz w:val="32"/>
          <w:szCs w:val="32"/>
          <w:highlight w:val="none"/>
          <w:u w:val="words"/>
        </w:rPr>
        <w:t>）行业</w:t>
      </w:r>
      <w:r>
        <w:rPr>
          <w:rFonts w:hint="eastAsia"/>
          <w:color w:val="auto"/>
          <w:sz w:val="32"/>
          <w:szCs w:val="32"/>
          <w:highlight w:val="none"/>
        </w:rPr>
        <w:t>；制造商为</w:t>
      </w:r>
      <w:r>
        <w:rPr>
          <w:rFonts w:hint="eastAsia" w:eastAsia="宋体"/>
          <w:i/>
          <w:color w:val="auto"/>
          <w:sz w:val="32"/>
          <w:szCs w:val="32"/>
          <w:highlight w:val="none"/>
          <w:u w:val="words"/>
        </w:rPr>
        <w:t>（企业名称）</w:t>
      </w:r>
      <w:r>
        <w:rPr>
          <w:rFonts w:hint="eastAsia"/>
          <w:color w:val="auto"/>
          <w:sz w:val="32"/>
          <w:szCs w:val="32"/>
          <w:highlight w:val="none"/>
        </w:rPr>
        <w:t>，从业人员</w:t>
      </w:r>
      <w:r>
        <w:rPr>
          <w:rFonts w:hint="eastAsia" w:eastAsia="宋体"/>
          <w:color w:val="auto"/>
          <w:sz w:val="32"/>
          <w:szCs w:val="32"/>
          <w:highlight w:val="none"/>
          <w:u w:val="single"/>
        </w:rPr>
        <w:t xml:space="preserve"> </w:t>
      </w:r>
      <w:r>
        <w:rPr>
          <w:rFonts w:hint="eastAsia" w:eastAsia="宋体"/>
          <w:color w:val="auto"/>
          <w:sz w:val="32"/>
          <w:szCs w:val="32"/>
          <w:highlight w:val="none"/>
          <w:u w:val="single"/>
          <w:lang w:val="en-US" w:eastAsia="zh-CN"/>
        </w:rPr>
        <w:t xml:space="preserve">    </w:t>
      </w:r>
      <w:r>
        <w:rPr>
          <w:rFonts w:hint="eastAsia"/>
          <w:color w:val="auto"/>
          <w:sz w:val="32"/>
          <w:szCs w:val="32"/>
          <w:highlight w:val="none"/>
        </w:rPr>
        <w:t>人，营业收入为</w:t>
      </w:r>
      <w:r>
        <w:rPr>
          <w:rFonts w:hint="eastAsia" w:eastAsia="宋体"/>
          <w:color w:val="auto"/>
          <w:sz w:val="32"/>
          <w:szCs w:val="32"/>
          <w:highlight w:val="none"/>
          <w:u w:val="single"/>
          <w:lang w:val="en-US" w:eastAsia="zh-CN"/>
        </w:rPr>
        <w:t xml:space="preserve">      </w:t>
      </w:r>
      <w:r>
        <w:rPr>
          <w:rFonts w:hint="eastAsia"/>
          <w:color w:val="auto"/>
          <w:sz w:val="32"/>
          <w:szCs w:val="32"/>
          <w:highlight w:val="none"/>
        </w:rPr>
        <w:t>万元，资产总额为</w:t>
      </w:r>
      <w:r>
        <w:rPr>
          <w:rFonts w:hint="eastAsia" w:eastAsia="宋体"/>
          <w:color w:val="auto"/>
          <w:sz w:val="32"/>
          <w:szCs w:val="32"/>
          <w:highlight w:val="none"/>
          <w:u w:val="single"/>
          <w:lang w:val="en-US" w:eastAsia="zh-CN"/>
        </w:rPr>
        <w:t xml:space="preserve">      </w:t>
      </w:r>
      <w:r>
        <w:rPr>
          <w:rFonts w:hint="eastAsia"/>
          <w:color w:val="auto"/>
          <w:sz w:val="32"/>
          <w:szCs w:val="32"/>
          <w:highlight w:val="none"/>
        </w:rPr>
        <w:t>万元，属于</w:t>
      </w:r>
      <w:r>
        <w:rPr>
          <w:rFonts w:hint="eastAsia" w:eastAsia="宋体"/>
          <w:i/>
          <w:color w:val="auto"/>
          <w:sz w:val="32"/>
          <w:szCs w:val="32"/>
          <w:highlight w:val="none"/>
          <w:u w:val="words"/>
        </w:rPr>
        <w:t>（中型企业、小型企业、微型企业）</w:t>
      </w:r>
      <w:r>
        <w:rPr>
          <w:rFonts w:hint="eastAsia"/>
          <w:color w:val="auto"/>
          <w:sz w:val="32"/>
          <w:szCs w:val="32"/>
          <w:highlight w:val="none"/>
        </w:rPr>
        <w:t>；</w:t>
      </w:r>
    </w:p>
    <w:p w14:paraId="4AEE7A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color w:val="auto"/>
          <w:sz w:val="32"/>
          <w:szCs w:val="32"/>
          <w:highlight w:val="none"/>
        </w:rPr>
      </w:pPr>
      <w:r>
        <w:rPr>
          <w:rFonts w:hint="eastAsia"/>
          <w:color w:val="auto"/>
          <w:sz w:val="32"/>
          <w:szCs w:val="32"/>
          <w:highlight w:val="none"/>
        </w:rPr>
        <w:t xml:space="preserve">2. </w:t>
      </w:r>
      <w:r>
        <w:rPr>
          <w:rFonts w:hint="eastAsia" w:eastAsia="宋体"/>
          <w:i/>
          <w:color w:val="auto"/>
          <w:sz w:val="32"/>
          <w:szCs w:val="32"/>
          <w:highlight w:val="none"/>
          <w:u w:val="words"/>
        </w:rPr>
        <w:t>（标的名称）</w:t>
      </w:r>
      <w:r>
        <w:rPr>
          <w:rFonts w:hint="eastAsia"/>
          <w:color w:val="auto"/>
          <w:sz w:val="32"/>
          <w:szCs w:val="32"/>
          <w:highlight w:val="none"/>
        </w:rPr>
        <w:t>，属于</w:t>
      </w:r>
      <w:r>
        <w:rPr>
          <w:rFonts w:hint="eastAsia" w:eastAsia="宋体"/>
          <w:i/>
          <w:color w:val="auto"/>
          <w:sz w:val="32"/>
          <w:szCs w:val="32"/>
          <w:highlight w:val="none"/>
          <w:u w:val="words"/>
        </w:rPr>
        <w:t>（</w:t>
      </w:r>
      <w:r>
        <w:rPr>
          <w:rFonts w:hint="eastAsia"/>
          <w:i/>
          <w:color w:val="auto"/>
          <w:sz w:val="32"/>
          <w:szCs w:val="32"/>
          <w:highlight w:val="none"/>
          <w:u w:val="words"/>
          <w:lang w:eastAsia="zh-CN"/>
        </w:rPr>
        <w:t>对照“中小企业声明函附件”中</w:t>
      </w:r>
      <w:r>
        <w:rPr>
          <w:rFonts w:hint="eastAsia" w:eastAsia="宋体"/>
          <w:i/>
          <w:color w:val="auto"/>
          <w:sz w:val="32"/>
          <w:szCs w:val="32"/>
          <w:highlight w:val="none"/>
          <w:u w:val="words"/>
        </w:rPr>
        <w:t>的所属行业</w:t>
      </w:r>
      <w:r>
        <w:rPr>
          <w:rFonts w:hint="eastAsia"/>
          <w:i/>
          <w:color w:val="auto"/>
          <w:sz w:val="32"/>
          <w:szCs w:val="32"/>
          <w:highlight w:val="none"/>
          <w:u w:val="words"/>
          <w:lang w:eastAsia="zh-CN"/>
        </w:rPr>
        <w:t>及划型标准填写</w:t>
      </w:r>
      <w:r>
        <w:rPr>
          <w:rFonts w:hint="eastAsia" w:eastAsia="宋体"/>
          <w:i/>
          <w:color w:val="auto"/>
          <w:sz w:val="32"/>
          <w:szCs w:val="32"/>
          <w:highlight w:val="none"/>
          <w:u w:val="words"/>
        </w:rPr>
        <w:t>）行业</w:t>
      </w:r>
      <w:r>
        <w:rPr>
          <w:rFonts w:hint="eastAsia"/>
          <w:color w:val="auto"/>
          <w:sz w:val="32"/>
          <w:szCs w:val="32"/>
          <w:highlight w:val="none"/>
        </w:rPr>
        <w:t>；制造商为</w:t>
      </w:r>
      <w:r>
        <w:rPr>
          <w:rFonts w:hint="eastAsia" w:eastAsia="宋体"/>
          <w:i/>
          <w:color w:val="auto"/>
          <w:sz w:val="32"/>
          <w:szCs w:val="32"/>
          <w:highlight w:val="none"/>
          <w:u w:val="words"/>
        </w:rPr>
        <w:t>（企业名称）</w:t>
      </w:r>
      <w:r>
        <w:rPr>
          <w:rFonts w:hint="eastAsia"/>
          <w:color w:val="auto"/>
          <w:sz w:val="32"/>
          <w:szCs w:val="32"/>
          <w:highlight w:val="none"/>
        </w:rPr>
        <w:t>，从业人员</w:t>
      </w:r>
      <w:r>
        <w:rPr>
          <w:rFonts w:hint="eastAsia" w:eastAsia="宋体"/>
          <w:color w:val="auto"/>
          <w:sz w:val="32"/>
          <w:szCs w:val="32"/>
          <w:highlight w:val="none"/>
          <w:u w:val="single"/>
        </w:rPr>
        <w:t xml:space="preserve"> </w:t>
      </w:r>
      <w:r>
        <w:rPr>
          <w:rFonts w:hint="eastAsia" w:eastAsia="宋体"/>
          <w:color w:val="auto"/>
          <w:sz w:val="32"/>
          <w:szCs w:val="32"/>
          <w:highlight w:val="none"/>
          <w:u w:val="single"/>
          <w:lang w:val="en-US" w:eastAsia="zh-CN"/>
        </w:rPr>
        <w:t xml:space="preserve">    </w:t>
      </w:r>
      <w:r>
        <w:rPr>
          <w:rFonts w:hint="eastAsia"/>
          <w:color w:val="auto"/>
          <w:sz w:val="32"/>
          <w:szCs w:val="32"/>
          <w:highlight w:val="none"/>
        </w:rPr>
        <w:t>人，营业收入为</w:t>
      </w:r>
      <w:r>
        <w:rPr>
          <w:rFonts w:hint="eastAsia" w:eastAsia="宋体"/>
          <w:color w:val="auto"/>
          <w:sz w:val="32"/>
          <w:szCs w:val="32"/>
          <w:highlight w:val="none"/>
          <w:u w:val="single"/>
          <w:lang w:val="en-US" w:eastAsia="zh-CN"/>
        </w:rPr>
        <w:t xml:space="preserve">      </w:t>
      </w:r>
      <w:r>
        <w:rPr>
          <w:rFonts w:hint="eastAsia"/>
          <w:color w:val="auto"/>
          <w:sz w:val="32"/>
          <w:szCs w:val="32"/>
          <w:highlight w:val="none"/>
        </w:rPr>
        <w:t>万元，资产总额为</w:t>
      </w:r>
      <w:r>
        <w:rPr>
          <w:rFonts w:hint="eastAsia" w:eastAsia="宋体"/>
          <w:color w:val="auto"/>
          <w:sz w:val="32"/>
          <w:szCs w:val="32"/>
          <w:highlight w:val="none"/>
          <w:u w:val="single"/>
          <w:lang w:val="en-US" w:eastAsia="zh-CN"/>
        </w:rPr>
        <w:t xml:space="preserve">      </w:t>
      </w:r>
      <w:r>
        <w:rPr>
          <w:rFonts w:hint="eastAsia"/>
          <w:color w:val="auto"/>
          <w:sz w:val="32"/>
          <w:szCs w:val="32"/>
          <w:highlight w:val="none"/>
        </w:rPr>
        <w:t>万元，属于</w:t>
      </w:r>
      <w:r>
        <w:rPr>
          <w:rFonts w:hint="eastAsia" w:eastAsia="宋体"/>
          <w:i/>
          <w:color w:val="auto"/>
          <w:sz w:val="32"/>
          <w:szCs w:val="32"/>
          <w:highlight w:val="none"/>
          <w:u w:val="words"/>
        </w:rPr>
        <w:t>（中型企业、小型企业、微型企业）</w:t>
      </w:r>
      <w:r>
        <w:rPr>
          <w:rFonts w:hint="eastAsia"/>
          <w:color w:val="auto"/>
          <w:sz w:val="32"/>
          <w:szCs w:val="32"/>
          <w:highlight w:val="none"/>
        </w:rPr>
        <w:t>；</w:t>
      </w:r>
    </w:p>
    <w:p w14:paraId="2F8328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color w:val="auto"/>
          <w:sz w:val="32"/>
          <w:szCs w:val="32"/>
          <w:highlight w:val="none"/>
        </w:rPr>
      </w:pPr>
      <w:r>
        <w:rPr>
          <w:rFonts w:hint="eastAsia"/>
          <w:color w:val="auto"/>
          <w:sz w:val="32"/>
          <w:szCs w:val="32"/>
          <w:highlight w:val="none"/>
        </w:rPr>
        <w:t>……</w:t>
      </w:r>
    </w:p>
    <w:p w14:paraId="00D260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color w:val="auto"/>
          <w:sz w:val="32"/>
          <w:szCs w:val="32"/>
          <w:highlight w:val="none"/>
        </w:rPr>
      </w:pPr>
      <w:r>
        <w:rPr>
          <w:rFonts w:hint="eastAsia"/>
          <w:color w:val="auto"/>
          <w:sz w:val="32"/>
          <w:szCs w:val="32"/>
          <w:highlight w:val="none"/>
        </w:rPr>
        <w:t>以上企业，不属于大企业的分支机构，不存在控股股东为大企业的情形，也不存在与大企业的负责人为同一人的情形。</w:t>
      </w:r>
    </w:p>
    <w:p w14:paraId="584099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color w:val="auto"/>
          <w:sz w:val="32"/>
          <w:szCs w:val="32"/>
          <w:highlight w:val="none"/>
        </w:rPr>
      </w:pPr>
      <w:r>
        <w:rPr>
          <w:rFonts w:hint="eastAsia"/>
          <w:color w:val="auto"/>
          <w:sz w:val="32"/>
          <w:szCs w:val="32"/>
          <w:highlight w:val="none"/>
        </w:rPr>
        <w:t>本企业对上述声明内容的真实性负责。如有虚假，将依法承担相应责任。</w:t>
      </w:r>
    </w:p>
    <w:p w14:paraId="65D86EDA">
      <w:pPr>
        <w:ind w:firstLine="4160" w:firstLineChars="1300"/>
        <w:rPr>
          <w:rFonts w:hint="eastAsia"/>
          <w:color w:val="auto"/>
          <w:sz w:val="32"/>
          <w:szCs w:val="32"/>
          <w:highlight w:val="none"/>
        </w:rPr>
      </w:pPr>
      <w:r>
        <w:rPr>
          <w:rFonts w:hint="eastAsia"/>
          <w:color w:val="auto"/>
          <w:sz w:val="32"/>
          <w:szCs w:val="32"/>
          <w:highlight w:val="none"/>
        </w:rPr>
        <w:t>企业名称（盖章）：</w:t>
      </w:r>
    </w:p>
    <w:p w14:paraId="65DB501F">
      <w:pPr>
        <w:ind w:firstLine="4160" w:firstLineChars="1300"/>
        <w:rPr>
          <w:rFonts w:hint="eastAsia"/>
          <w:color w:val="auto"/>
          <w:sz w:val="32"/>
          <w:szCs w:val="32"/>
          <w:highlight w:val="none"/>
        </w:rPr>
      </w:pPr>
      <w:r>
        <w:rPr>
          <w:rFonts w:hint="eastAsia"/>
          <w:color w:val="auto"/>
          <w:sz w:val="32"/>
          <w:szCs w:val="32"/>
          <w:highlight w:val="none"/>
        </w:rPr>
        <w:t>日 期：</w:t>
      </w:r>
    </w:p>
    <w:p w14:paraId="5BAA33BC">
      <w:pPr>
        <w:rPr>
          <w:rFonts w:hint="eastAsia"/>
          <w:b/>
          <w:bCs/>
          <w:color w:val="auto"/>
          <w:sz w:val="21"/>
          <w:szCs w:val="21"/>
          <w:highlight w:val="none"/>
          <w:lang w:eastAsia="zh-CN"/>
        </w:rPr>
      </w:pPr>
      <w:r>
        <w:rPr>
          <w:rFonts w:hint="eastAsia"/>
          <w:b/>
          <w:bCs/>
          <w:color w:val="auto"/>
          <w:sz w:val="21"/>
          <w:szCs w:val="21"/>
          <w:highlight w:val="none"/>
          <w:lang w:eastAsia="zh-CN"/>
        </w:rPr>
        <w:t>备注：</w:t>
      </w:r>
    </w:p>
    <w:p w14:paraId="6F44C5C1">
      <w:pPr>
        <w:numPr>
          <w:ilvl w:val="0"/>
          <w:numId w:val="0"/>
        </w:numPr>
        <w:rPr>
          <w:rFonts w:hint="eastAsia"/>
          <w:b/>
          <w:bCs/>
          <w:color w:val="auto"/>
          <w:sz w:val="21"/>
          <w:szCs w:val="21"/>
          <w:highlight w:val="none"/>
          <w:lang w:eastAsia="zh-CN"/>
        </w:rPr>
      </w:pPr>
      <w:r>
        <w:rPr>
          <w:rFonts w:hint="eastAsia"/>
          <w:b/>
          <w:bCs/>
          <w:color w:val="auto"/>
          <w:sz w:val="21"/>
          <w:szCs w:val="21"/>
          <w:highlight w:val="none"/>
          <w:lang w:val="en-US" w:eastAsia="zh-CN"/>
        </w:rPr>
        <w:t>1.</w:t>
      </w:r>
      <w:r>
        <w:rPr>
          <w:rFonts w:hint="eastAsia"/>
          <w:b/>
          <w:bCs/>
          <w:color w:val="auto"/>
          <w:sz w:val="21"/>
          <w:szCs w:val="21"/>
          <w:highlight w:val="none"/>
        </w:rPr>
        <w:t>从业人员、营业收入、资产总额填报上一年度数据，无上一年度数据的新成立企业可不填报</w:t>
      </w:r>
      <w:r>
        <w:rPr>
          <w:rFonts w:hint="eastAsia"/>
          <w:b/>
          <w:bCs/>
          <w:color w:val="auto"/>
          <w:sz w:val="21"/>
          <w:szCs w:val="21"/>
          <w:highlight w:val="none"/>
          <w:lang w:eastAsia="zh-CN"/>
        </w:rPr>
        <w:t>。</w:t>
      </w:r>
    </w:p>
    <w:p w14:paraId="5C13AF44">
      <w:pPr>
        <w:numPr>
          <w:ilvl w:val="0"/>
          <w:numId w:val="0"/>
        </w:numPr>
        <w:rPr>
          <w:rFonts w:hint="eastAsia"/>
          <w:b/>
          <w:color w:val="auto"/>
          <w:sz w:val="32"/>
          <w:szCs w:val="32"/>
          <w:highlight w:val="none"/>
        </w:rPr>
      </w:pPr>
      <w:r>
        <w:rPr>
          <w:rFonts w:hint="eastAsia"/>
          <w:b/>
          <w:bCs/>
          <w:color w:val="auto"/>
          <w:sz w:val="21"/>
          <w:szCs w:val="21"/>
          <w:highlight w:val="none"/>
          <w:lang w:val="en-US" w:eastAsia="zh-CN"/>
        </w:rPr>
        <w:t>2.</w:t>
      </w:r>
      <w:r>
        <w:rPr>
          <w:rFonts w:hint="eastAsia"/>
          <w:b/>
          <w:bCs/>
          <w:color w:val="auto"/>
          <w:sz w:val="21"/>
          <w:szCs w:val="21"/>
          <w:highlight w:val="none"/>
          <w:lang w:eastAsia="zh-CN"/>
        </w:rPr>
        <w:t>中小企业划分标准所属行业</w:t>
      </w:r>
      <w:r>
        <w:rPr>
          <w:rFonts w:hint="eastAsia"/>
          <w:b/>
          <w:bCs/>
          <w:color w:val="auto"/>
          <w:sz w:val="21"/>
          <w:szCs w:val="21"/>
          <w:highlight w:val="none"/>
          <w:u w:val="single"/>
          <w:lang w:eastAsia="zh-CN"/>
        </w:rPr>
        <w:t>制造业</w:t>
      </w:r>
      <w:r>
        <w:rPr>
          <w:rFonts w:hint="eastAsia"/>
          <w:b/>
          <w:bCs/>
          <w:color w:val="auto"/>
          <w:sz w:val="21"/>
          <w:szCs w:val="21"/>
          <w:highlight w:val="none"/>
          <w:lang w:eastAsia="zh-CN"/>
        </w:rPr>
        <w:t>。</w:t>
      </w:r>
    </w:p>
    <w:p w14:paraId="6F02A871">
      <w:pPr>
        <w:jc w:val="center"/>
        <w:rPr>
          <w:color w:val="auto"/>
          <w:sz w:val="36"/>
          <w:szCs w:val="36"/>
          <w:highlight w:val="none"/>
        </w:rPr>
      </w:pPr>
      <w:bookmarkStart w:id="55" w:name="OLE_LINK14"/>
      <w:bookmarkStart w:id="56" w:name="OLE_LINK13"/>
      <w:r>
        <w:rPr>
          <w:rFonts w:hint="eastAsia"/>
          <w:color w:val="auto"/>
          <w:sz w:val="36"/>
          <w:szCs w:val="36"/>
          <w:highlight w:val="none"/>
        </w:rPr>
        <w:br w:type="page"/>
      </w:r>
      <w:r>
        <w:rPr>
          <w:rFonts w:hint="eastAsia"/>
          <w:color w:val="auto"/>
          <w:sz w:val="36"/>
          <w:szCs w:val="36"/>
          <w:highlight w:val="none"/>
        </w:rPr>
        <w:t>残疾人福利性单位声明函</w:t>
      </w:r>
    </w:p>
    <w:bookmarkEnd w:id="55"/>
    <w:bookmarkEnd w:id="56"/>
    <w:p w14:paraId="0EB8F494">
      <w:pPr>
        <w:spacing w:line="588" w:lineRule="exact"/>
        <w:rPr>
          <w:rFonts w:ascii="仿宋_GB2312" w:eastAsia="仿宋_GB2312"/>
          <w:b/>
          <w:color w:val="auto"/>
          <w:spacing w:val="6"/>
          <w:sz w:val="30"/>
          <w:szCs w:val="30"/>
          <w:highlight w:val="none"/>
        </w:rPr>
      </w:pPr>
    </w:p>
    <w:p w14:paraId="6B83F2E7">
      <w:pPr>
        <w:spacing w:line="588" w:lineRule="exact"/>
        <w:ind w:firstLine="640" w:firstLineChars="200"/>
        <w:rPr>
          <w:color w:val="auto"/>
          <w:sz w:val="32"/>
          <w:szCs w:val="32"/>
          <w:highlight w:val="none"/>
        </w:rPr>
      </w:pPr>
      <w:r>
        <w:rPr>
          <w:rFonts w:hint="eastAsia"/>
          <w:color w:val="auto"/>
          <w:sz w:val="32"/>
          <w:szCs w:val="32"/>
          <w:highlight w:val="none"/>
        </w:rPr>
        <w:t>本单位郑重声明，根据《财政部</w:t>
      </w:r>
      <w:r>
        <w:rPr>
          <w:color w:val="auto"/>
          <w:sz w:val="32"/>
          <w:szCs w:val="32"/>
          <w:highlight w:val="none"/>
        </w:rPr>
        <w:t xml:space="preserve"> </w:t>
      </w:r>
      <w:r>
        <w:rPr>
          <w:rFonts w:hint="eastAsia"/>
          <w:color w:val="auto"/>
          <w:sz w:val="32"/>
          <w:szCs w:val="32"/>
          <w:highlight w:val="none"/>
        </w:rPr>
        <w:t>民政部</w:t>
      </w:r>
      <w:r>
        <w:rPr>
          <w:color w:val="auto"/>
          <w:sz w:val="32"/>
          <w:szCs w:val="32"/>
          <w:highlight w:val="none"/>
        </w:rPr>
        <w:t xml:space="preserve"> </w:t>
      </w:r>
      <w:r>
        <w:rPr>
          <w:rFonts w:hint="eastAsia"/>
          <w:color w:val="auto"/>
          <w:sz w:val="32"/>
          <w:szCs w:val="32"/>
          <w:highlight w:val="none"/>
        </w:rPr>
        <w:t>中国残疾人联合会关于促进残疾人就业政府采购政策的通知》（财库〔</w:t>
      </w:r>
      <w:r>
        <w:rPr>
          <w:color w:val="auto"/>
          <w:sz w:val="32"/>
          <w:szCs w:val="32"/>
          <w:highlight w:val="none"/>
        </w:rPr>
        <w:t>2017</w:t>
      </w:r>
      <w:r>
        <w:rPr>
          <w:rFonts w:hint="eastAsia"/>
          <w:color w:val="auto"/>
          <w:sz w:val="32"/>
          <w:szCs w:val="32"/>
          <w:highlight w:val="none"/>
        </w:rPr>
        <w:t>〕</w:t>
      </w:r>
      <w:r>
        <w:rPr>
          <w:color w:val="auto"/>
          <w:sz w:val="32"/>
          <w:szCs w:val="32"/>
          <w:highlight w:val="none"/>
        </w:rPr>
        <w:t xml:space="preserve"> 141</w:t>
      </w:r>
      <w:r>
        <w:rPr>
          <w:rFonts w:hint="eastAsia"/>
          <w:color w:val="auto"/>
          <w:sz w:val="32"/>
          <w:szCs w:val="32"/>
          <w:highlight w:val="none"/>
        </w:rPr>
        <w:t>号）的规定，本单位为符合条件的残疾人福利性单位，且本单位参加</w:t>
      </w:r>
      <w:r>
        <w:rPr>
          <w:color w:val="auto"/>
          <w:sz w:val="32"/>
          <w:szCs w:val="32"/>
          <w:highlight w:val="none"/>
        </w:rPr>
        <w:t>______</w:t>
      </w:r>
      <w:r>
        <w:rPr>
          <w:rFonts w:hint="eastAsia"/>
          <w:color w:val="auto"/>
          <w:sz w:val="32"/>
          <w:szCs w:val="32"/>
          <w:highlight w:val="none"/>
        </w:rPr>
        <w:t>单位的</w:t>
      </w:r>
      <w:r>
        <w:rPr>
          <w:color w:val="auto"/>
          <w:sz w:val="32"/>
          <w:szCs w:val="32"/>
          <w:highlight w:val="none"/>
        </w:rPr>
        <w:t>______</w:t>
      </w:r>
      <w:r>
        <w:rPr>
          <w:rFonts w:hint="eastAsia"/>
          <w:color w:val="auto"/>
          <w:sz w:val="32"/>
          <w:szCs w:val="32"/>
          <w:highlight w:val="none"/>
        </w:rPr>
        <w:t>项目采购活动提供本单位制造的货物（由本单位承担工程</w:t>
      </w:r>
      <w:r>
        <w:rPr>
          <w:color w:val="auto"/>
          <w:sz w:val="32"/>
          <w:szCs w:val="32"/>
          <w:highlight w:val="none"/>
        </w:rPr>
        <w:t>/</w:t>
      </w:r>
      <w:r>
        <w:rPr>
          <w:rFonts w:hint="eastAsia"/>
          <w:color w:val="auto"/>
          <w:sz w:val="32"/>
          <w:szCs w:val="32"/>
          <w:highlight w:val="none"/>
        </w:rPr>
        <w:t>提供服务），或者提供其他残疾人福利性单位制造的货物（不包括使用非残疾人福利性单位注册商标的货物）。</w:t>
      </w:r>
    </w:p>
    <w:p w14:paraId="3E6374A1">
      <w:pPr>
        <w:spacing w:line="588" w:lineRule="exact"/>
        <w:ind w:firstLine="640" w:firstLineChars="200"/>
        <w:rPr>
          <w:color w:val="auto"/>
          <w:sz w:val="32"/>
          <w:szCs w:val="32"/>
          <w:highlight w:val="none"/>
        </w:rPr>
      </w:pPr>
      <w:r>
        <w:rPr>
          <w:rFonts w:hint="eastAsia"/>
          <w:color w:val="auto"/>
          <w:sz w:val="32"/>
          <w:szCs w:val="32"/>
          <w:highlight w:val="none"/>
        </w:rPr>
        <w:t>本单位对上述声明的真实性负责。如有虚假，将依法承担相应责任。</w:t>
      </w:r>
    </w:p>
    <w:p w14:paraId="5940BD24">
      <w:pPr>
        <w:spacing w:line="588" w:lineRule="exact"/>
        <w:ind w:firstLine="640" w:firstLineChars="200"/>
        <w:rPr>
          <w:color w:val="auto"/>
          <w:sz w:val="32"/>
          <w:szCs w:val="32"/>
          <w:highlight w:val="none"/>
        </w:rPr>
      </w:pPr>
    </w:p>
    <w:p w14:paraId="615875CD">
      <w:pPr>
        <w:spacing w:line="588" w:lineRule="exact"/>
        <w:ind w:firstLine="640" w:firstLineChars="200"/>
        <w:rPr>
          <w:color w:val="auto"/>
          <w:sz w:val="32"/>
          <w:szCs w:val="32"/>
          <w:highlight w:val="none"/>
        </w:rPr>
      </w:pPr>
    </w:p>
    <w:p w14:paraId="2A15EF7F">
      <w:pPr>
        <w:tabs>
          <w:tab w:val="left" w:pos="4860"/>
        </w:tabs>
        <w:spacing w:line="588" w:lineRule="exact"/>
        <w:ind w:right="1560" w:firstLine="640" w:firstLineChars="200"/>
        <w:jc w:val="center"/>
        <w:rPr>
          <w:rFonts w:hint="eastAsia"/>
          <w:color w:val="auto"/>
          <w:sz w:val="32"/>
          <w:szCs w:val="32"/>
          <w:highlight w:val="none"/>
        </w:rPr>
      </w:pPr>
      <w:r>
        <w:rPr>
          <w:color w:val="auto"/>
          <w:sz w:val="32"/>
          <w:szCs w:val="32"/>
          <w:highlight w:val="none"/>
        </w:rPr>
        <w:t xml:space="preserve">              </w:t>
      </w:r>
    </w:p>
    <w:p w14:paraId="26C331F1">
      <w:pPr>
        <w:tabs>
          <w:tab w:val="left" w:pos="4860"/>
        </w:tabs>
        <w:spacing w:line="588" w:lineRule="exact"/>
        <w:ind w:right="1560" w:firstLine="640" w:firstLineChars="200"/>
        <w:jc w:val="center"/>
        <w:rPr>
          <w:rFonts w:hint="eastAsia"/>
          <w:color w:val="auto"/>
          <w:sz w:val="32"/>
          <w:szCs w:val="32"/>
          <w:highlight w:val="none"/>
        </w:rPr>
      </w:pPr>
    </w:p>
    <w:p w14:paraId="3F616190">
      <w:pPr>
        <w:tabs>
          <w:tab w:val="left" w:pos="4860"/>
        </w:tabs>
        <w:spacing w:line="588" w:lineRule="exact"/>
        <w:ind w:right="1560" w:firstLine="640" w:firstLineChars="200"/>
        <w:jc w:val="center"/>
        <w:rPr>
          <w:rFonts w:hint="eastAsia"/>
          <w:color w:val="auto"/>
          <w:sz w:val="32"/>
          <w:szCs w:val="32"/>
          <w:highlight w:val="none"/>
        </w:rPr>
      </w:pPr>
    </w:p>
    <w:p w14:paraId="7329D12F">
      <w:pPr>
        <w:tabs>
          <w:tab w:val="left" w:pos="4860"/>
        </w:tabs>
        <w:spacing w:line="588" w:lineRule="exact"/>
        <w:ind w:right="1560" w:firstLine="640" w:firstLineChars="200"/>
        <w:jc w:val="center"/>
        <w:rPr>
          <w:color w:val="auto"/>
          <w:sz w:val="32"/>
          <w:szCs w:val="32"/>
          <w:highlight w:val="none"/>
        </w:rPr>
      </w:pPr>
      <w:r>
        <w:rPr>
          <w:color w:val="auto"/>
          <w:sz w:val="32"/>
          <w:szCs w:val="32"/>
          <w:highlight w:val="none"/>
        </w:rPr>
        <w:t xml:space="preserve"> </w:t>
      </w:r>
      <w:r>
        <w:rPr>
          <w:rFonts w:hint="eastAsia"/>
          <w:color w:val="auto"/>
          <w:sz w:val="32"/>
          <w:szCs w:val="32"/>
          <w:highlight w:val="none"/>
        </w:rPr>
        <w:t>单位名称（盖章）：</w:t>
      </w:r>
    </w:p>
    <w:p w14:paraId="1F5A6E01">
      <w:pPr>
        <w:tabs>
          <w:tab w:val="left" w:pos="4860"/>
        </w:tabs>
        <w:spacing w:line="588" w:lineRule="exact"/>
        <w:ind w:right="1560" w:firstLine="640" w:firstLineChars="200"/>
        <w:jc w:val="center"/>
        <w:rPr>
          <w:color w:val="auto"/>
          <w:sz w:val="32"/>
          <w:szCs w:val="32"/>
          <w:highlight w:val="none"/>
        </w:rPr>
      </w:pPr>
      <w:r>
        <w:rPr>
          <w:color w:val="auto"/>
          <w:sz w:val="32"/>
          <w:szCs w:val="32"/>
          <w:highlight w:val="none"/>
        </w:rPr>
        <w:t xml:space="preserve">       </w:t>
      </w:r>
      <w:r>
        <w:rPr>
          <w:rFonts w:hint="eastAsia"/>
          <w:color w:val="auto"/>
          <w:sz w:val="32"/>
          <w:szCs w:val="32"/>
          <w:highlight w:val="none"/>
        </w:rPr>
        <w:t>日</w:t>
      </w:r>
      <w:r>
        <w:rPr>
          <w:color w:val="auto"/>
          <w:sz w:val="32"/>
          <w:szCs w:val="32"/>
          <w:highlight w:val="none"/>
        </w:rPr>
        <w:t xml:space="preserve">  </w:t>
      </w:r>
      <w:r>
        <w:rPr>
          <w:rFonts w:hint="eastAsia"/>
          <w:color w:val="auto"/>
          <w:sz w:val="32"/>
          <w:szCs w:val="32"/>
          <w:highlight w:val="none"/>
        </w:rPr>
        <w:t>期：</w:t>
      </w:r>
    </w:p>
    <w:p w14:paraId="3BAE38D1">
      <w:pPr>
        <w:rPr>
          <w:rFonts w:hint="eastAsia"/>
          <w:b/>
          <w:color w:val="auto"/>
          <w:sz w:val="32"/>
          <w:szCs w:val="32"/>
          <w:highlight w:val="none"/>
        </w:rPr>
      </w:pPr>
    </w:p>
    <w:p w14:paraId="4FC2838E">
      <w:pPr>
        <w:rPr>
          <w:rFonts w:hint="eastAsia"/>
          <w:b/>
          <w:color w:val="auto"/>
          <w:sz w:val="32"/>
          <w:szCs w:val="32"/>
          <w:highlight w:val="none"/>
        </w:rPr>
      </w:pPr>
    </w:p>
    <w:p w14:paraId="7CD6A3BE">
      <w:pPr>
        <w:rPr>
          <w:rFonts w:hint="eastAsia"/>
          <w:b/>
          <w:color w:val="auto"/>
          <w:sz w:val="32"/>
          <w:szCs w:val="32"/>
          <w:highlight w:val="none"/>
        </w:rPr>
      </w:pPr>
    </w:p>
    <w:p w14:paraId="7BE26B36">
      <w:pPr>
        <w:rPr>
          <w:rFonts w:hint="eastAsia"/>
          <w:b/>
          <w:color w:val="auto"/>
          <w:sz w:val="32"/>
          <w:szCs w:val="32"/>
          <w:highlight w:val="none"/>
        </w:rPr>
      </w:pPr>
    </w:p>
    <w:p w14:paraId="499F3595">
      <w:pPr>
        <w:rPr>
          <w:rFonts w:hint="eastAsia"/>
          <w:b/>
          <w:color w:val="auto"/>
          <w:sz w:val="32"/>
          <w:szCs w:val="32"/>
          <w:highlight w:val="none"/>
        </w:rPr>
      </w:pPr>
    </w:p>
    <w:p w14:paraId="0C74B46B">
      <w:pPr>
        <w:rPr>
          <w:rFonts w:hint="eastAsia"/>
          <w:b/>
          <w:color w:val="auto"/>
          <w:sz w:val="32"/>
          <w:szCs w:val="32"/>
          <w:highlight w:val="none"/>
        </w:rPr>
      </w:pPr>
      <w:r>
        <w:rPr>
          <w:rFonts w:hint="eastAsia"/>
          <w:b/>
          <w:color w:val="auto"/>
          <w:sz w:val="32"/>
          <w:szCs w:val="32"/>
          <w:highlight w:val="none"/>
        </w:rPr>
        <w:t>注：如非残疾人福利性单位，本声明函无需填写。</w:t>
      </w:r>
    </w:p>
    <w:p w14:paraId="25850E2C">
      <w:pPr>
        <w:jc w:val="center"/>
        <w:rPr>
          <w:rFonts w:hint="eastAsia"/>
          <w:color w:val="auto"/>
          <w:sz w:val="36"/>
          <w:szCs w:val="36"/>
          <w:highlight w:val="none"/>
        </w:rPr>
      </w:pPr>
    </w:p>
    <w:p w14:paraId="46321717">
      <w:pPr>
        <w:jc w:val="center"/>
        <w:rPr>
          <w:rFonts w:hint="eastAsia"/>
          <w:color w:val="auto"/>
          <w:sz w:val="36"/>
          <w:szCs w:val="36"/>
          <w:highlight w:val="none"/>
        </w:rPr>
      </w:pPr>
    </w:p>
    <w:p w14:paraId="16184882">
      <w:pPr>
        <w:jc w:val="center"/>
        <w:rPr>
          <w:rFonts w:hint="eastAsia"/>
          <w:color w:val="auto"/>
          <w:sz w:val="36"/>
          <w:szCs w:val="36"/>
          <w:highlight w:val="none"/>
        </w:rPr>
      </w:pPr>
    </w:p>
    <w:p w14:paraId="0BF31B0B">
      <w:pPr>
        <w:jc w:val="center"/>
        <w:rPr>
          <w:rFonts w:hint="eastAsia"/>
          <w:color w:val="auto"/>
          <w:sz w:val="36"/>
          <w:szCs w:val="36"/>
          <w:highlight w:val="none"/>
        </w:rPr>
      </w:pPr>
    </w:p>
    <w:p w14:paraId="30DC2FB7">
      <w:pPr>
        <w:jc w:val="center"/>
        <w:rPr>
          <w:rFonts w:hint="eastAsia"/>
          <w:color w:val="auto"/>
          <w:sz w:val="36"/>
          <w:szCs w:val="36"/>
          <w:highlight w:val="none"/>
        </w:rPr>
      </w:pPr>
    </w:p>
    <w:p w14:paraId="1DC578C9">
      <w:pPr>
        <w:jc w:val="center"/>
        <w:rPr>
          <w:rFonts w:hint="eastAsia"/>
          <w:color w:val="auto"/>
          <w:sz w:val="36"/>
          <w:szCs w:val="36"/>
          <w:highlight w:val="none"/>
        </w:rPr>
      </w:pPr>
      <w:r>
        <w:rPr>
          <w:rFonts w:hint="eastAsia"/>
          <w:color w:val="auto"/>
          <w:sz w:val="36"/>
          <w:szCs w:val="36"/>
          <w:highlight w:val="none"/>
        </w:rPr>
        <w:t>监狱企业证明文件</w:t>
      </w:r>
    </w:p>
    <w:p w14:paraId="636166F4">
      <w:pPr>
        <w:jc w:val="center"/>
        <w:rPr>
          <w:rFonts w:hint="eastAsia"/>
          <w:color w:val="auto"/>
          <w:sz w:val="32"/>
          <w:szCs w:val="32"/>
          <w:highlight w:val="none"/>
        </w:rPr>
      </w:pPr>
    </w:p>
    <w:p w14:paraId="79512014">
      <w:pPr>
        <w:spacing w:line="360" w:lineRule="auto"/>
        <w:jc w:val="center"/>
        <w:rPr>
          <w:rFonts w:hint="eastAsia" w:ascii="新宋体" w:hAnsi="新宋体" w:eastAsia="新宋体"/>
          <w:color w:val="auto"/>
          <w:sz w:val="32"/>
          <w:szCs w:val="32"/>
          <w:highlight w:val="none"/>
        </w:rPr>
      </w:pPr>
      <w:r>
        <w:rPr>
          <w:rFonts w:hint="eastAsia" w:ascii="新宋体" w:hAnsi="新宋体" w:eastAsia="新宋体"/>
          <w:color w:val="auto"/>
          <w:sz w:val="32"/>
          <w:szCs w:val="32"/>
          <w:highlight w:val="none"/>
        </w:rPr>
        <w:t>提供由省级以上监狱管理局、戒毒管理局（含新疆生产建设兵团）出具的属于监狱企业的证明文件。</w:t>
      </w:r>
    </w:p>
    <w:p w14:paraId="776A0D18">
      <w:pPr>
        <w:spacing w:line="360" w:lineRule="auto"/>
        <w:jc w:val="center"/>
        <w:rPr>
          <w:rFonts w:hint="eastAsia" w:ascii="新宋体" w:hAnsi="新宋体" w:eastAsia="新宋体"/>
          <w:color w:val="auto"/>
          <w:sz w:val="32"/>
          <w:szCs w:val="32"/>
          <w:highlight w:val="none"/>
        </w:rPr>
      </w:pPr>
    </w:p>
    <w:p w14:paraId="0AACEDC6">
      <w:pPr>
        <w:spacing w:line="360" w:lineRule="auto"/>
        <w:jc w:val="center"/>
        <w:rPr>
          <w:rFonts w:hint="eastAsia" w:ascii="新宋体" w:hAnsi="新宋体" w:eastAsia="新宋体"/>
          <w:color w:val="auto"/>
          <w:sz w:val="32"/>
          <w:szCs w:val="32"/>
          <w:highlight w:val="none"/>
        </w:rPr>
      </w:pPr>
    </w:p>
    <w:p w14:paraId="139D077E">
      <w:pPr>
        <w:spacing w:line="360" w:lineRule="auto"/>
        <w:jc w:val="center"/>
        <w:rPr>
          <w:rFonts w:hint="eastAsia" w:ascii="新宋体" w:hAnsi="新宋体" w:eastAsia="新宋体"/>
          <w:color w:val="auto"/>
          <w:sz w:val="32"/>
          <w:szCs w:val="32"/>
          <w:highlight w:val="none"/>
        </w:rPr>
      </w:pPr>
    </w:p>
    <w:p w14:paraId="3E183E50">
      <w:pPr>
        <w:spacing w:line="360" w:lineRule="auto"/>
        <w:jc w:val="center"/>
        <w:rPr>
          <w:rFonts w:hint="eastAsia" w:ascii="新宋体" w:hAnsi="新宋体" w:eastAsia="新宋体"/>
          <w:color w:val="auto"/>
          <w:sz w:val="32"/>
          <w:szCs w:val="32"/>
          <w:highlight w:val="none"/>
        </w:rPr>
      </w:pPr>
    </w:p>
    <w:p w14:paraId="280C05AA">
      <w:pPr>
        <w:spacing w:line="360" w:lineRule="auto"/>
        <w:jc w:val="center"/>
        <w:rPr>
          <w:rFonts w:hint="eastAsia" w:ascii="新宋体" w:hAnsi="新宋体" w:eastAsia="新宋体"/>
          <w:color w:val="auto"/>
          <w:sz w:val="32"/>
          <w:szCs w:val="32"/>
          <w:highlight w:val="none"/>
        </w:rPr>
      </w:pPr>
    </w:p>
    <w:p w14:paraId="52041F9E">
      <w:pPr>
        <w:pStyle w:val="30"/>
        <w:rPr>
          <w:rFonts w:hint="eastAsia" w:ascii="新宋体" w:hAnsi="新宋体" w:eastAsia="新宋体"/>
          <w:color w:val="auto"/>
          <w:sz w:val="32"/>
          <w:szCs w:val="32"/>
          <w:highlight w:val="none"/>
        </w:rPr>
      </w:pPr>
    </w:p>
    <w:p w14:paraId="6AA35000">
      <w:pPr>
        <w:rPr>
          <w:rFonts w:hint="eastAsia" w:ascii="新宋体" w:hAnsi="新宋体" w:eastAsia="新宋体"/>
          <w:color w:val="auto"/>
          <w:sz w:val="32"/>
          <w:szCs w:val="32"/>
          <w:highlight w:val="none"/>
        </w:rPr>
      </w:pPr>
    </w:p>
    <w:p w14:paraId="6BBA75EC">
      <w:pPr>
        <w:pStyle w:val="30"/>
        <w:rPr>
          <w:rFonts w:hint="eastAsia" w:ascii="新宋体" w:hAnsi="新宋体" w:eastAsia="新宋体"/>
          <w:color w:val="auto"/>
          <w:sz w:val="32"/>
          <w:szCs w:val="32"/>
          <w:highlight w:val="none"/>
        </w:rPr>
      </w:pPr>
    </w:p>
    <w:p w14:paraId="52A88BA6">
      <w:pPr>
        <w:rPr>
          <w:rFonts w:hint="eastAsia" w:ascii="新宋体" w:hAnsi="新宋体" w:eastAsia="新宋体"/>
          <w:color w:val="auto"/>
          <w:sz w:val="32"/>
          <w:szCs w:val="32"/>
          <w:highlight w:val="none"/>
        </w:rPr>
      </w:pPr>
    </w:p>
    <w:p w14:paraId="35C5732E">
      <w:pPr>
        <w:pStyle w:val="30"/>
        <w:rPr>
          <w:rFonts w:hint="eastAsia" w:ascii="新宋体" w:hAnsi="新宋体" w:eastAsia="新宋体"/>
          <w:color w:val="auto"/>
          <w:sz w:val="32"/>
          <w:szCs w:val="32"/>
          <w:highlight w:val="none"/>
        </w:rPr>
      </w:pPr>
    </w:p>
    <w:p w14:paraId="41C9978C">
      <w:pPr>
        <w:rPr>
          <w:rFonts w:hint="eastAsia" w:ascii="新宋体" w:hAnsi="新宋体" w:eastAsia="新宋体"/>
          <w:color w:val="auto"/>
          <w:sz w:val="32"/>
          <w:szCs w:val="32"/>
          <w:highlight w:val="none"/>
        </w:rPr>
      </w:pPr>
    </w:p>
    <w:p w14:paraId="7D7EB4A4">
      <w:pPr>
        <w:pStyle w:val="30"/>
        <w:rPr>
          <w:rFonts w:hint="eastAsia" w:ascii="新宋体" w:hAnsi="新宋体" w:eastAsia="新宋体"/>
          <w:color w:val="auto"/>
          <w:sz w:val="32"/>
          <w:szCs w:val="32"/>
          <w:highlight w:val="none"/>
        </w:rPr>
      </w:pPr>
    </w:p>
    <w:p w14:paraId="245BD16B">
      <w:pPr>
        <w:rPr>
          <w:rFonts w:hint="eastAsia" w:ascii="新宋体" w:hAnsi="新宋体" w:eastAsia="新宋体"/>
          <w:color w:val="auto"/>
          <w:sz w:val="32"/>
          <w:szCs w:val="32"/>
          <w:highlight w:val="none"/>
        </w:rPr>
      </w:pPr>
    </w:p>
    <w:p w14:paraId="5ED193AA">
      <w:pPr>
        <w:pStyle w:val="30"/>
        <w:rPr>
          <w:rFonts w:hint="eastAsia" w:ascii="新宋体" w:hAnsi="新宋体" w:eastAsia="新宋体"/>
          <w:color w:val="auto"/>
          <w:sz w:val="32"/>
          <w:szCs w:val="32"/>
          <w:highlight w:val="none"/>
        </w:rPr>
      </w:pPr>
    </w:p>
    <w:p w14:paraId="08B12B8C">
      <w:pPr>
        <w:rPr>
          <w:rFonts w:hint="eastAsia" w:ascii="新宋体" w:hAnsi="新宋体" w:eastAsia="新宋体"/>
          <w:color w:val="auto"/>
          <w:sz w:val="32"/>
          <w:szCs w:val="32"/>
          <w:highlight w:val="none"/>
        </w:rPr>
      </w:pPr>
    </w:p>
    <w:p w14:paraId="57BB9906">
      <w:pPr>
        <w:pStyle w:val="30"/>
        <w:rPr>
          <w:rFonts w:hint="eastAsia"/>
          <w:highlight w:val="none"/>
        </w:rPr>
      </w:pPr>
    </w:p>
    <w:p w14:paraId="1CB44F78">
      <w:pPr>
        <w:spacing w:line="360" w:lineRule="auto"/>
        <w:jc w:val="center"/>
        <w:rPr>
          <w:rFonts w:hint="eastAsia" w:ascii="新宋体" w:hAnsi="新宋体" w:eastAsia="新宋体"/>
          <w:color w:val="auto"/>
          <w:sz w:val="32"/>
          <w:szCs w:val="32"/>
          <w:highlight w:val="none"/>
        </w:rPr>
      </w:pPr>
    </w:p>
    <w:p w14:paraId="2C4A3BA3">
      <w:pPr>
        <w:spacing w:line="360" w:lineRule="auto"/>
        <w:jc w:val="center"/>
        <w:rPr>
          <w:rFonts w:hint="eastAsia" w:ascii="新宋体" w:hAnsi="新宋体" w:eastAsia="新宋体"/>
          <w:color w:val="auto"/>
          <w:sz w:val="32"/>
          <w:szCs w:val="32"/>
          <w:highlight w:val="none"/>
        </w:rPr>
      </w:pPr>
    </w:p>
    <w:p w14:paraId="597EC1BE">
      <w:pPr>
        <w:spacing w:line="360" w:lineRule="auto"/>
        <w:jc w:val="center"/>
        <w:rPr>
          <w:rFonts w:hint="eastAsia" w:ascii="新宋体" w:hAnsi="新宋体" w:eastAsia="新宋体"/>
          <w:color w:val="auto"/>
          <w:sz w:val="32"/>
          <w:szCs w:val="32"/>
          <w:highlight w:val="none"/>
        </w:rPr>
      </w:pPr>
    </w:p>
    <w:p w14:paraId="4A796C84">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pacing w:val="20"/>
          <w:sz w:val="24"/>
          <w:szCs w:val="24"/>
          <w:highlight w:val="none"/>
        </w:rPr>
      </w:pPr>
    </w:p>
    <w:sectPr>
      <w:footerReference r:id="rId11" w:type="first"/>
      <w:footerReference r:id="rId10" w:type="default"/>
      <w:pgSz w:w="11906" w:h="16838"/>
      <w:pgMar w:top="1418" w:right="1247" w:bottom="1418" w:left="1418" w:header="851" w:footer="992"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Wingdings 2">
    <w:altName w:val="Wingdings"/>
    <w:panose1 w:val="05020102010507070707"/>
    <w:charset w:val="02"/>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35149">
    <w:pPr>
      <w:pStyle w:val="28"/>
      <w:framePr w:wrap="around" w:vAnchor="text" w:hAnchor="margin" w:xAlign="center" w:y="1"/>
      <w:rPr>
        <w:rStyle w:val="49"/>
      </w:rPr>
    </w:pPr>
    <w:r>
      <w:fldChar w:fldCharType="begin"/>
    </w:r>
    <w:r>
      <w:rPr>
        <w:rStyle w:val="49"/>
      </w:rPr>
      <w:instrText xml:space="preserve">PAGE  </w:instrText>
    </w:r>
    <w:r>
      <w:fldChar w:fldCharType="end"/>
    </w:r>
  </w:p>
  <w:p w14:paraId="2988D001">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9CCAC">
    <w:pPr>
      <w:pStyle w:val="28"/>
    </w:pPr>
    <w:ins w:id="0" w:author="[嘿哈]" w:date="2025-06-26T14:56:19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4F459">
                            <w:pPr>
                              <w:pStyle w:val="28"/>
                            </w:pPr>
                            <w:ins w:id="2" w:author="[嘿哈]" w:date="2025-06-26T14:56:19Z">
                              <w:r>
                                <w:rPr/>
                                <w:fldChar w:fldCharType="begin"/>
                              </w:r>
                            </w:ins>
                            <w:ins w:id="3" w:author="[嘿哈]" w:date="2025-06-26T14:56:19Z">
                              <w:r>
                                <w:rPr/>
                                <w:instrText xml:space="preserve"> PAGE  \* MERGEFORMAT </w:instrText>
                              </w:r>
                            </w:ins>
                            <w:ins w:id="4" w:author="[嘿哈]" w:date="2025-06-26T14:56:19Z">
                              <w:r>
                                <w:rPr/>
                                <w:fldChar w:fldCharType="separate"/>
                              </w:r>
                            </w:ins>
                            <w:ins w:id="5" w:author="[嘿哈]" w:date="2025-06-26T14:56:19Z">
                              <w:r>
                                <w:rPr/>
                                <w:t>1</w:t>
                              </w:r>
                            </w:ins>
                            <w:ins w:id="6" w:author="[嘿哈]" w:date="2025-06-26T14:56:19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C74F459">
                      <w:pPr>
                        <w:pStyle w:val="28"/>
                      </w:pPr>
                      <w:ins w:id="7" w:author="[嘿哈]" w:date="2025-06-26T14:56:19Z">
                        <w:r>
                          <w:rPr/>
                          <w:fldChar w:fldCharType="begin"/>
                        </w:r>
                      </w:ins>
                      <w:ins w:id="8" w:author="[嘿哈]" w:date="2025-06-26T14:56:19Z">
                        <w:r>
                          <w:rPr/>
                          <w:instrText xml:space="preserve"> PAGE  \* MERGEFORMAT </w:instrText>
                        </w:r>
                      </w:ins>
                      <w:ins w:id="9" w:author="[嘿哈]" w:date="2025-06-26T14:56:19Z">
                        <w:r>
                          <w:rPr/>
                          <w:fldChar w:fldCharType="separate"/>
                        </w:r>
                      </w:ins>
                      <w:ins w:id="10" w:author="[嘿哈]" w:date="2025-06-26T14:56:19Z">
                        <w:r>
                          <w:rPr/>
                          <w:t>1</w:t>
                        </w:r>
                      </w:ins>
                      <w:ins w:id="11" w:author="[嘿哈]" w:date="2025-06-26T14:56:19Z">
                        <w:r>
                          <w:rPr/>
                          <w:fldChar w:fldCharType="end"/>
                        </w:r>
                      </w:ins>
                    </w:p>
                  </w:txbxContent>
                </v:textbox>
              </v:shape>
            </w:pict>
          </mc:Fallback>
        </mc:AlternateContent>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56533">
    <w:pPr>
      <w:pStyle w:val="28"/>
    </w:pPr>
    <w:ins w:id="12" w:author="[嘿哈]" w:date="2025-06-26T14:56:19Z">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C824C">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AC824C">
                      <w:pPr>
                        <w:pStyle w:val="28"/>
                      </w:pPr>
                      <w:r>
                        <w:fldChar w:fldCharType="begin"/>
                      </w:r>
                      <w:r>
                        <w:instrText xml:space="preserve"> PAGE  \* MERGEFORMAT </w:instrText>
                      </w:r>
                      <w:r>
                        <w:fldChar w:fldCharType="separate"/>
                      </w:r>
                      <w:r>
                        <w:t>2</w:t>
                      </w:r>
                      <w:r>
                        <w:fldChar w:fldCharType="end"/>
                      </w:r>
                    </w:p>
                  </w:txbxContent>
                </v:textbox>
              </v:shape>
            </w:pict>
          </mc:Fallback>
        </mc:AlternateContent>
      </w:r>
    </w:ins>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45911">
    <w:pPr>
      <w:pStyle w:val="28"/>
    </w:pPr>
    <w:ins w:id="14" w:author="[嘿哈]" w:date="2025-06-26T14:56:19Z">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01F05">
                            <w:pPr>
                              <w:pStyle w:val="2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4201F05">
                      <w:pPr>
                        <w:pStyle w:val="28"/>
                      </w:pPr>
                      <w:r>
                        <w:fldChar w:fldCharType="begin"/>
                      </w:r>
                      <w:r>
                        <w:instrText xml:space="preserve"> PAGE  \* MERGEFORMAT </w:instrText>
                      </w:r>
                      <w:r>
                        <w:fldChar w:fldCharType="separate"/>
                      </w:r>
                      <w:r>
                        <w:t>3</w:t>
                      </w:r>
                      <w:r>
                        <w:fldChar w:fldCharType="end"/>
                      </w:r>
                    </w:p>
                  </w:txbxContent>
                </v:textbox>
              </v:shape>
            </w:pict>
          </mc:Fallback>
        </mc:AlternateContent>
      </w:r>
    </w:ins>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36884">
    <w:pPr>
      <w:pStyle w:val="28"/>
    </w:pPr>
    <w:ins w:id="16" w:author="[嘿哈]" w:date="2025-06-26T14:56:19Z">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4E022">
                            <w:pPr>
                              <w:pStyle w:val="28"/>
                              <w:rPr>
                                <w:rStyle w:val="49"/>
                              </w:rPr>
                            </w:pPr>
                            <w:r>
                              <w:fldChar w:fldCharType="begin"/>
                            </w:r>
                            <w:r>
                              <w:rPr>
                                <w:rStyle w:val="49"/>
                              </w:rPr>
                              <w:instrText xml:space="preserve">PAGE  </w:instrText>
                            </w:r>
                            <w:r>
                              <w:fldChar w:fldCharType="separate"/>
                            </w:r>
                            <w:r>
                              <w:rPr>
                                <w:rStyle w:val="49"/>
                              </w:rPr>
                              <w:t>2</w:t>
                            </w:r>
                            <w:r>
                              <w:fldChar w:fldCharType="end"/>
                            </w:r>
                          </w:p>
                          <w:p w14:paraId="5C4A7DD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354E022">
                      <w:pPr>
                        <w:pStyle w:val="28"/>
                        <w:rPr>
                          <w:rStyle w:val="49"/>
                        </w:rPr>
                      </w:pPr>
                      <w:r>
                        <w:fldChar w:fldCharType="begin"/>
                      </w:r>
                      <w:r>
                        <w:rPr>
                          <w:rStyle w:val="49"/>
                        </w:rPr>
                        <w:instrText xml:space="preserve">PAGE  </w:instrText>
                      </w:r>
                      <w:r>
                        <w:fldChar w:fldCharType="separate"/>
                      </w:r>
                      <w:r>
                        <w:rPr>
                          <w:rStyle w:val="49"/>
                        </w:rPr>
                        <w:t>2</w:t>
                      </w:r>
                      <w:r>
                        <w:fldChar w:fldCharType="end"/>
                      </w:r>
                    </w:p>
                    <w:p w14:paraId="5C4A7DD9"/>
                  </w:txbxContent>
                </v:textbox>
              </v:shape>
            </w:pict>
          </mc:Fallback>
        </mc:AlternateContent>
      </w:r>
    </w:ins>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5A7A0">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2B496">
    <w:pPr>
      <w:pStyle w:val="29"/>
      <w:pBdr>
        <w:bottom w:val="none" w:color="auto" w:sz="0" w:space="3"/>
      </w:pBdr>
      <w:jc w:val="both"/>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7783D">
    <w:pPr>
      <w:pStyle w:val="29"/>
      <w:pBdr>
        <w:bottom w:val="none" w:color="auto" w:sz="0" w:space="0"/>
      </w:pBdr>
      <w:jc w:val="left"/>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A40C9">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130F4B7E"/>
    <w:multiLevelType w:val="multilevel"/>
    <w:tmpl w:val="130F4B7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FF46C8B"/>
    <w:multiLevelType w:val="singleLevel"/>
    <w:tmpl w:val="2FF46C8B"/>
    <w:lvl w:ilvl="0" w:tentative="0">
      <w:start w:val="4"/>
      <w:numFmt w:val="chineseCounting"/>
      <w:suff w:val="space"/>
      <w:lvlText w:val="第%1部分"/>
      <w:lvlJc w:val="left"/>
      <w:rPr>
        <w:rFonts w:hint="eastAsia"/>
      </w:rPr>
    </w:lvl>
  </w:abstractNum>
  <w:abstractNum w:abstractNumId="8">
    <w:nsid w:val="49FB7819"/>
    <w:multiLevelType w:val="multilevel"/>
    <w:tmpl w:val="49FB781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06912C7"/>
    <w:multiLevelType w:val="multilevel"/>
    <w:tmpl w:val="506912C7"/>
    <w:lvl w:ilvl="0" w:tentative="0">
      <w:start w:val="1"/>
      <w:numFmt w:val="decimal"/>
      <w:lvlText w:val="%1、"/>
      <w:lvlJc w:val="left"/>
      <w:pPr>
        <w:ind w:left="420" w:hanging="420"/>
      </w:pPr>
      <w:rPr>
        <w:rFonts w:hint="eastAsia" w:ascii="黑体" w:hAnsi="黑体" w:eastAsia="黑体"/>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A0F6431"/>
    <w:multiLevelType w:val="singleLevel"/>
    <w:tmpl w:val="7A0F6431"/>
    <w:lvl w:ilvl="0" w:tentative="0">
      <w:start w:val="1"/>
      <w:numFmt w:val="decimal"/>
      <w:suff w:val="space"/>
      <w:lvlText w:val="%1."/>
      <w:lvlJc w:val="left"/>
    </w:lvl>
  </w:abstractNum>
  <w:abstractNum w:abstractNumId="11">
    <w:nsid w:val="7D823685"/>
    <w:multiLevelType w:val="multilevel"/>
    <w:tmpl w:val="7D82368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10"/>
  </w:num>
  <w:num w:numId="3">
    <w:abstractNumId w:val="1"/>
  </w:num>
  <w:num w:numId="4">
    <w:abstractNumId w:val="5"/>
  </w:num>
  <w:num w:numId="5">
    <w:abstractNumId w:val="3"/>
  </w:num>
  <w:num w:numId="6">
    <w:abstractNumId w:val="2"/>
  </w:num>
  <w:num w:numId="7">
    <w:abstractNumId w:val="0"/>
  </w:num>
  <w:num w:numId="8">
    <w:abstractNumId w:val="4"/>
  </w:num>
  <w:num w:numId="9">
    <w:abstractNumId w:val="6"/>
  </w:num>
  <w:num w:numId="10">
    <w:abstractNumId w:val="9"/>
  </w:num>
  <w:num w:numId="11">
    <w:abstractNumId w:val="11"/>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嘿哈]">
    <w15:presenceInfo w15:providerId="WPS Office" w15:userId="1891917547"/>
  </w15:person>
  <w15:person w15:author="Andy">
    <w15:presenceInfo w15:providerId="WPS Office" w15:userId="41720549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MGNmOGNjYjYwNWM5MDZmMzBlMjc2ZGZjZGU0MmIifQ=="/>
  </w:docVars>
  <w:rsids>
    <w:rsidRoot w:val="00D37C4B"/>
    <w:rsid w:val="0000063C"/>
    <w:rsid w:val="00000B64"/>
    <w:rsid w:val="00000FB0"/>
    <w:rsid w:val="00001038"/>
    <w:rsid w:val="00001438"/>
    <w:rsid w:val="00001823"/>
    <w:rsid w:val="000023B1"/>
    <w:rsid w:val="00006F1F"/>
    <w:rsid w:val="00007AE1"/>
    <w:rsid w:val="000101BD"/>
    <w:rsid w:val="0001063A"/>
    <w:rsid w:val="00010FB2"/>
    <w:rsid w:val="00011694"/>
    <w:rsid w:val="000133AB"/>
    <w:rsid w:val="000137CF"/>
    <w:rsid w:val="000139E0"/>
    <w:rsid w:val="00013EAE"/>
    <w:rsid w:val="000144DD"/>
    <w:rsid w:val="00014C99"/>
    <w:rsid w:val="00014E67"/>
    <w:rsid w:val="000157BA"/>
    <w:rsid w:val="0001631D"/>
    <w:rsid w:val="00016C0B"/>
    <w:rsid w:val="0002036F"/>
    <w:rsid w:val="00021436"/>
    <w:rsid w:val="00021C37"/>
    <w:rsid w:val="000223F9"/>
    <w:rsid w:val="00022933"/>
    <w:rsid w:val="000231ED"/>
    <w:rsid w:val="00024500"/>
    <w:rsid w:val="00026024"/>
    <w:rsid w:val="0002653C"/>
    <w:rsid w:val="00026779"/>
    <w:rsid w:val="0002782B"/>
    <w:rsid w:val="00027BD7"/>
    <w:rsid w:val="00030044"/>
    <w:rsid w:val="00030540"/>
    <w:rsid w:val="0003186C"/>
    <w:rsid w:val="0003233B"/>
    <w:rsid w:val="00032B92"/>
    <w:rsid w:val="00033FD8"/>
    <w:rsid w:val="0003441E"/>
    <w:rsid w:val="0003452C"/>
    <w:rsid w:val="000345AB"/>
    <w:rsid w:val="00036173"/>
    <w:rsid w:val="000369F2"/>
    <w:rsid w:val="00036D73"/>
    <w:rsid w:val="000402A6"/>
    <w:rsid w:val="0004321F"/>
    <w:rsid w:val="0004386B"/>
    <w:rsid w:val="00044218"/>
    <w:rsid w:val="00044541"/>
    <w:rsid w:val="0004470C"/>
    <w:rsid w:val="00044CBE"/>
    <w:rsid w:val="00044DE4"/>
    <w:rsid w:val="00045D32"/>
    <w:rsid w:val="00046687"/>
    <w:rsid w:val="00046AB3"/>
    <w:rsid w:val="00046E9D"/>
    <w:rsid w:val="000473F5"/>
    <w:rsid w:val="00047B6C"/>
    <w:rsid w:val="00047D0E"/>
    <w:rsid w:val="00050A1E"/>
    <w:rsid w:val="00050C1D"/>
    <w:rsid w:val="00051B94"/>
    <w:rsid w:val="0005210D"/>
    <w:rsid w:val="0005211E"/>
    <w:rsid w:val="000525F2"/>
    <w:rsid w:val="00054B71"/>
    <w:rsid w:val="0005531F"/>
    <w:rsid w:val="000571BC"/>
    <w:rsid w:val="00057A23"/>
    <w:rsid w:val="00057A9D"/>
    <w:rsid w:val="00057EC5"/>
    <w:rsid w:val="0006020D"/>
    <w:rsid w:val="0006042A"/>
    <w:rsid w:val="00060436"/>
    <w:rsid w:val="00061FE1"/>
    <w:rsid w:val="00061FFE"/>
    <w:rsid w:val="000624D3"/>
    <w:rsid w:val="0006334C"/>
    <w:rsid w:val="0006406C"/>
    <w:rsid w:val="000640C8"/>
    <w:rsid w:val="00064C41"/>
    <w:rsid w:val="00064EC3"/>
    <w:rsid w:val="0006528C"/>
    <w:rsid w:val="00065355"/>
    <w:rsid w:val="00065B68"/>
    <w:rsid w:val="00065E58"/>
    <w:rsid w:val="00066D80"/>
    <w:rsid w:val="00067044"/>
    <w:rsid w:val="00070B54"/>
    <w:rsid w:val="00071360"/>
    <w:rsid w:val="00071414"/>
    <w:rsid w:val="00072C89"/>
    <w:rsid w:val="00072DC4"/>
    <w:rsid w:val="00074791"/>
    <w:rsid w:val="00075905"/>
    <w:rsid w:val="00075A27"/>
    <w:rsid w:val="000818BC"/>
    <w:rsid w:val="00081C9B"/>
    <w:rsid w:val="00081DCC"/>
    <w:rsid w:val="000826E7"/>
    <w:rsid w:val="000842A6"/>
    <w:rsid w:val="00085497"/>
    <w:rsid w:val="0008577F"/>
    <w:rsid w:val="00087387"/>
    <w:rsid w:val="00090005"/>
    <w:rsid w:val="0009067A"/>
    <w:rsid w:val="00090A3B"/>
    <w:rsid w:val="00090F68"/>
    <w:rsid w:val="00091EA2"/>
    <w:rsid w:val="00093076"/>
    <w:rsid w:val="000932CA"/>
    <w:rsid w:val="00093FF9"/>
    <w:rsid w:val="00096A08"/>
    <w:rsid w:val="00096E3D"/>
    <w:rsid w:val="00096F7C"/>
    <w:rsid w:val="0009745C"/>
    <w:rsid w:val="0009768E"/>
    <w:rsid w:val="000A1441"/>
    <w:rsid w:val="000A1ABB"/>
    <w:rsid w:val="000A24F2"/>
    <w:rsid w:val="000A2912"/>
    <w:rsid w:val="000A332E"/>
    <w:rsid w:val="000A396A"/>
    <w:rsid w:val="000A3F73"/>
    <w:rsid w:val="000A41A3"/>
    <w:rsid w:val="000A4632"/>
    <w:rsid w:val="000A7438"/>
    <w:rsid w:val="000A7811"/>
    <w:rsid w:val="000A7FF5"/>
    <w:rsid w:val="000B00B2"/>
    <w:rsid w:val="000B05E3"/>
    <w:rsid w:val="000B133E"/>
    <w:rsid w:val="000B198D"/>
    <w:rsid w:val="000B3407"/>
    <w:rsid w:val="000B3530"/>
    <w:rsid w:val="000B3B88"/>
    <w:rsid w:val="000B3CF8"/>
    <w:rsid w:val="000B52AD"/>
    <w:rsid w:val="000B6067"/>
    <w:rsid w:val="000B6FE7"/>
    <w:rsid w:val="000B7C82"/>
    <w:rsid w:val="000B7D24"/>
    <w:rsid w:val="000C023A"/>
    <w:rsid w:val="000C0B27"/>
    <w:rsid w:val="000C0DE6"/>
    <w:rsid w:val="000C248C"/>
    <w:rsid w:val="000C2B24"/>
    <w:rsid w:val="000C31AA"/>
    <w:rsid w:val="000C36D1"/>
    <w:rsid w:val="000C4042"/>
    <w:rsid w:val="000C5810"/>
    <w:rsid w:val="000C5D64"/>
    <w:rsid w:val="000C5F6A"/>
    <w:rsid w:val="000C77CA"/>
    <w:rsid w:val="000D06BA"/>
    <w:rsid w:val="000D0922"/>
    <w:rsid w:val="000D0C4A"/>
    <w:rsid w:val="000D130E"/>
    <w:rsid w:val="000D158E"/>
    <w:rsid w:val="000D245C"/>
    <w:rsid w:val="000D3A8E"/>
    <w:rsid w:val="000D40C2"/>
    <w:rsid w:val="000D477C"/>
    <w:rsid w:val="000D49B6"/>
    <w:rsid w:val="000D7693"/>
    <w:rsid w:val="000D7950"/>
    <w:rsid w:val="000E057A"/>
    <w:rsid w:val="000E2037"/>
    <w:rsid w:val="000E2D94"/>
    <w:rsid w:val="000E36CC"/>
    <w:rsid w:val="000E4183"/>
    <w:rsid w:val="000E4224"/>
    <w:rsid w:val="000E4BA0"/>
    <w:rsid w:val="000E644C"/>
    <w:rsid w:val="000E666C"/>
    <w:rsid w:val="000E67B0"/>
    <w:rsid w:val="000E6FE2"/>
    <w:rsid w:val="000E7079"/>
    <w:rsid w:val="000E71D7"/>
    <w:rsid w:val="000E7342"/>
    <w:rsid w:val="000F04D7"/>
    <w:rsid w:val="000F07A1"/>
    <w:rsid w:val="000F0E75"/>
    <w:rsid w:val="000F1179"/>
    <w:rsid w:val="000F13B6"/>
    <w:rsid w:val="000F1B37"/>
    <w:rsid w:val="000F2394"/>
    <w:rsid w:val="000F26DC"/>
    <w:rsid w:val="000F2B19"/>
    <w:rsid w:val="000F3037"/>
    <w:rsid w:val="000F3213"/>
    <w:rsid w:val="000F4597"/>
    <w:rsid w:val="000F4D54"/>
    <w:rsid w:val="000F5658"/>
    <w:rsid w:val="000F5FD2"/>
    <w:rsid w:val="00102208"/>
    <w:rsid w:val="00102DE7"/>
    <w:rsid w:val="001035DB"/>
    <w:rsid w:val="00103640"/>
    <w:rsid w:val="0010403B"/>
    <w:rsid w:val="00104197"/>
    <w:rsid w:val="001044BD"/>
    <w:rsid w:val="001061F8"/>
    <w:rsid w:val="00110620"/>
    <w:rsid w:val="00110BBA"/>
    <w:rsid w:val="00110FFE"/>
    <w:rsid w:val="001114B9"/>
    <w:rsid w:val="001126B7"/>
    <w:rsid w:val="00112AC0"/>
    <w:rsid w:val="0011338E"/>
    <w:rsid w:val="001136AF"/>
    <w:rsid w:val="0011395F"/>
    <w:rsid w:val="00113982"/>
    <w:rsid w:val="00113BFC"/>
    <w:rsid w:val="00113E06"/>
    <w:rsid w:val="00113ED0"/>
    <w:rsid w:val="0011504E"/>
    <w:rsid w:val="0011530B"/>
    <w:rsid w:val="00115B9A"/>
    <w:rsid w:val="00116851"/>
    <w:rsid w:val="00121222"/>
    <w:rsid w:val="00121DC0"/>
    <w:rsid w:val="0012219F"/>
    <w:rsid w:val="001227E3"/>
    <w:rsid w:val="00123A74"/>
    <w:rsid w:val="001244FF"/>
    <w:rsid w:val="00124BFE"/>
    <w:rsid w:val="00124C45"/>
    <w:rsid w:val="001258F2"/>
    <w:rsid w:val="001260E7"/>
    <w:rsid w:val="001276D5"/>
    <w:rsid w:val="0013146D"/>
    <w:rsid w:val="001319A6"/>
    <w:rsid w:val="00131E40"/>
    <w:rsid w:val="00132A44"/>
    <w:rsid w:val="001373D4"/>
    <w:rsid w:val="00137702"/>
    <w:rsid w:val="001377DD"/>
    <w:rsid w:val="0014011A"/>
    <w:rsid w:val="001403D9"/>
    <w:rsid w:val="00140B10"/>
    <w:rsid w:val="00141467"/>
    <w:rsid w:val="00141E49"/>
    <w:rsid w:val="00142CBC"/>
    <w:rsid w:val="00143DD4"/>
    <w:rsid w:val="00144231"/>
    <w:rsid w:val="00144405"/>
    <w:rsid w:val="0014546C"/>
    <w:rsid w:val="00146021"/>
    <w:rsid w:val="00146C13"/>
    <w:rsid w:val="00146FFB"/>
    <w:rsid w:val="00147026"/>
    <w:rsid w:val="001473EB"/>
    <w:rsid w:val="0015116F"/>
    <w:rsid w:val="001512D5"/>
    <w:rsid w:val="0015159E"/>
    <w:rsid w:val="001521C4"/>
    <w:rsid w:val="001526E7"/>
    <w:rsid w:val="00153070"/>
    <w:rsid w:val="00153AC1"/>
    <w:rsid w:val="0015554C"/>
    <w:rsid w:val="00155E4D"/>
    <w:rsid w:val="001560ED"/>
    <w:rsid w:val="00160CA7"/>
    <w:rsid w:val="00161225"/>
    <w:rsid w:val="00161807"/>
    <w:rsid w:val="00161D34"/>
    <w:rsid w:val="0016317F"/>
    <w:rsid w:val="00163851"/>
    <w:rsid w:val="00163A5F"/>
    <w:rsid w:val="0016449D"/>
    <w:rsid w:val="00164A44"/>
    <w:rsid w:val="001655C8"/>
    <w:rsid w:val="00167610"/>
    <w:rsid w:val="0017126D"/>
    <w:rsid w:val="00171A35"/>
    <w:rsid w:val="00174569"/>
    <w:rsid w:val="00174DBA"/>
    <w:rsid w:val="001750AD"/>
    <w:rsid w:val="0017661F"/>
    <w:rsid w:val="00177878"/>
    <w:rsid w:val="00177CEB"/>
    <w:rsid w:val="001802AA"/>
    <w:rsid w:val="001805B6"/>
    <w:rsid w:val="00180B23"/>
    <w:rsid w:val="00180D84"/>
    <w:rsid w:val="0018144E"/>
    <w:rsid w:val="00182A9E"/>
    <w:rsid w:val="001832E4"/>
    <w:rsid w:val="00184C02"/>
    <w:rsid w:val="001853DA"/>
    <w:rsid w:val="00185A61"/>
    <w:rsid w:val="00185C2A"/>
    <w:rsid w:val="00186638"/>
    <w:rsid w:val="001867F8"/>
    <w:rsid w:val="001869A1"/>
    <w:rsid w:val="00187E2F"/>
    <w:rsid w:val="00190F1F"/>
    <w:rsid w:val="00191573"/>
    <w:rsid w:val="00192B5F"/>
    <w:rsid w:val="00193EAE"/>
    <w:rsid w:val="001941D4"/>
    <w:rsid w:val="00194AD6"/>
    <w:rsid w:val="00194B6E"/>
    <w:rsid w:val="0019791F"/>
    <w:rsid w:val="00197E0E"/>
    <w:rsid w:val="001A0B5C"/>
    <w:rsid w:val="001A1EAF"/>
    <w:rsid w:val="001A2168"/>
    <w:rsid w:val="001A2F0F"/>
    <w:rsid w:val="001A32C8"/>
    <w:rsid w:val="001A363B"/>
    <w:rsid w:val="001A3E73"/>
    <w:rsid w:val="001A58A5"/>
    <w:rsid w:val="001A58E5"/>
    <w:rsid w:val="001A6636"/>
    <w:rsid w:val="001A69E7"/>
    <w:rsid w:val="001A7230"/>
    <w:rsid w:val="001B08DD"/>
    <w:rsid w:val="001B15D1"/>
    <w:rsid w:val="001B1E0D"/>
    <w:rsid w:val="001B225D"/>
    <w:rsid w:val="001B284C"/>
    <w:rsid w:val="001B28F1"/>
    <w:rsid w:val="001B2F54"/>
    <w:rsid w:val="001B3D89"/>
    <w:rsid w:val="001B423E"/>
    <w:rsid w:val="001B513E"/>
    <w:rsid w:val="001C0129"/>
    <w:rsid w:val="001C0229"/>
    <w:rsid w:val="001C082B"/>
    <w:rsid w:val="001C0DC9"/>
    <w:rsid w:val="001C0F0B"/>
    <w:rsid w:val="001C1539"/>
    <w:rsid w:val="001C1546"/>
    <w:rsid w:val="001C1896"/>
    <w:rsid w:val="001C1A95"/>
    <w:rsid w:val="001C2122"/>
    <w:rsid w:val="001C2DBD"/>
    <w:rsid w:val="001C2E77"/>
    <w:rsid w:val="001C5F05"/>
    <w:rsid w:val="001C61AA"/>
    <w:rsid w:val="001C6C16"/>
    <w:rsid w:val="001C6EDB"/>
    <w:rsid w:val="001C7966"/>
    <w:rsid w:val="001C7B3E"/>
    <w:rsid w:val="001D0966"/>
    <w:rsid w:val="001D0E8E"/>
    <w:rsid w:val="001D140B"/>
    <w:rsid w:val="001D54FF"/>
    <w:rsid w:val="001D578E"/>
    <w:rsid w:val="001D5DAF"/>
    <w:rsid w:val="001E0896"/>
    <w:rsid w:val="001E1B4B"/>
    <w:rsid w:val="001E3E85"/>
    <w:rsid w:val="001E406D"/>
    <w:rsid w:val="001E6F8A"/>
    <w:rsid w:val="001E7903"/>
    <w:rsid w:val="001F0915"/>
    <w:rsid w:val="001F2450"/>
    <w:rsid w:val="001F3299"/>
    <w:rsid w:val="001F384C"/>
    <w:rsid w:val="001F49D3"/>
    <w:rsid w:val="001F515E"/>
    <w:rsid w:val="001F58C1"/>
    <w:rsid w:val="001F6505"/>
    <w:rsid w:val="001F7059"/>
    <w:rsid w:val="001F7374"/>
    <w:rsid w:val="002006B3"/>
    <w:rsid w:val="002007B5"/>
    <w:rsid w:val="00200891"/>
    <w:rsid w:val="00200F08"/>
    <w:rsid w:val="002011A0"/>
    <w:rsid w:val="00201D3C"/>
    <w:rsid w:val="00201FFF"/>
    <w:rsid w:val="00202156"/>
    <w:rsid w:val="00202DC2"/>
    <w:rsid w:val="00203578"/>
    <w:rsid w:val="00203DDB"/>
    <w:rsid w:val="0020494C"/>
    <w:rsid w:val="00204F54"/>
    <w:rsid w:val="00205291"/>
    <w:rsid w:val="00205E6C"/>
    <w:rsid w:val="00206F24"/>
    <w:rsid w:val="00206F94"/>
    <w:rsid w:val="002078B5"/>
    <w:rsid w:val="002105B4"/>
    <w:rsid w:val="00211423"/>
    <w:rsid w:val="00212E4E"/>
    <w:rsid w:val="00212F09"/>
    <w:rsid w:val="0021418A"/>
    <w:rsid w:val="00214309"/>
    <w:rsid w:val="00214376"/>
    <w:rsid w:val="002148DE"/>
    <w:rsid w:val="00214F95"/>
    <w:rsid w:val="002159CC"/>
    <w:rsid w:val="0021620B"/>
    <w:rsid w:val="0021724E"/>
    <w:rsid w:val="00217BB7"/>
    <w:rsid w:val="00217BC7"/>
    <w:rsid w:val="00220444"/>
    <w:rsid w:val="002215F6"/>
    <w:rsid w:val="0022178B"/>
    <w:rsid w:val="00221AEA"/>
    <w:rsid w:val="002221BA"/>
    <w:rsid w:val="002222A9"/>
    <w:rsid w:val="0022269B"/>
    <w:rsid w:val="002227A0"/>
    <w:rsid w:val="0022285B"/>
    <w:rsid w:val="00223A8A"/>
    <w:rsid w:val="002247B5"/>
    <w:rsid w:val="00224F3D"/>
    <w:rsid w:val="00225EF3"/>
    <w:rsid w:val="002265B7"/>
    <w:rsid w:val="0023090F"/>
    <w:rsid w:val="002312DC"/>
    <w:rsid w:val="00231322"/>
    <w:rsid w:val="00231713"/>
    <w:rsid w:val="00233135"/>
    <w:rsid w:val="0023333E"/>
    <w:rsid w:val="00235DE7"/>
    <w:rsid w:val="0023633D"/>
    <w:rsid w:val="00236F42"/>
    <w:rsid w:val="00237D56"/>
    <w:rsid w:val="00237EA1"/>
    <w:rsid w:val="00240494"/>
    <w:rsid w:val="002411C2"/>
    <w:rsid w:val="00241466"/>
    <w:rsid w:val="0024152C"/>
    <w:rsid w:val="00241E37"/>
    <w:rsid w:val="0024225C"/>
    <w:rsid w:val="002426FF"/>
    <w:rsid w:val="002434B0"/>
    <w:rsid w:val="0024461F"/>
    <w:rsid w:val="00245DE5"/>
    <w:rsid w:val="00246652"/>
    <w:rsid w:val="00246A94"/>
    <w:rsid w:val="00246CCA"/>
    <w:rsid w:val="00247AA1"/>
    <w:rsid w:val="0025197A"/>
    <w:rsid w:val="00251E8D"/>
    <w:rsid w:val="0025208A"/>
    <w:rsid w:val="0025225B"/>
    <w:rsid w:val="002529D0"/>
    <w:rsid w:val="0025413C"/>
    <w:rsid w:val="002548F5"/>
    <w:rsid w:val="0025509D"/>
    <w:rsid w:val="00255BB2"/>
    <w:rsid w:val="00255EC4"/>
    <w:rsid w:val="00256134"/>
    <w:rsid w:val="0025710A"/>
    <w:rsid w:val="00257AFE"/>
    <w:rsid w:val="002605FF"/>
    <w:rsid w:val="002606CC"/>
    <w:rsid w:val="00260E15"/>
    <w:rsid w:val="00260F25"/>
    <w:rsid w:val="00262391"/>
    <w:rsid w:val="0026275B"/>
    <w:rsid w:val="002631B3"/>
    <w:rsid w:val="00263320"/>
    <w:rsid w:val="00263BAA"/>
    <w:rsid w:val="00264344"/>
    <w:rsid w:val="002656EE"/>
    <w:rsid w:val="00265C86"/>
    <w:rsid w:val="0026640B"/>
    <w:rsid w:val="002670F3"/>
    <w:rsid w:val="00267C08"/>
    <w:rsid w:val="002701CC"/>
    <w:rsid w:val="00270238"/>
    <w:rsid w:val="00270EC7"/>
    <w:rsid w:val="00271949"/>
    <w:rsid w:val="00271D71"/>
    <w:rsid w:val="00272799"/>
    <w:rsid w:val="00272965"/>
    <w:rsid w:val="00272D1C"/>
    <w:rsid w:val="0027331D"/>
    <w:rsid w:val="002734E6"/>
    <w:rsid w:val="0027376C"/>
    <w:rsid w:val="0027377C"/>
    <w:rsid w:val="002737D1"/>
    <w:rsid w:val="00273E07"/>
    <w:rsid w:val="00274FE5"/>
    <w:rsid w:val="0027597F"/>
    <w:rsid w:val="00275DC3"/>
    <w:rsid w:val="002761CF"/>
    <w:rsid w:val="00276A04"/>
    <w:rsid w:val="00277B8E"/>
    <w:rsid w:val="00280063"/>
    <w:rsid w:val="00280529"/>
    <w:rsid w:val="00280C23"/>
    <w:rsid w:val="002813DA"/>
    <w:rsid w:val="00281919"/>
    <w:rsid w:val="00281B5F"/>
    <w:rsid w:val="00282319"/>
    <w:rsid w:val="00282904"/>
    <w:rsid w:val="002835CD"/>
    <w:rsid w:val="002845D3"/>
    <w:rsid w:val="002849E2"/>
    <w:rsid w:val="00284F4A"/>
    <w:rsid w:val="00285219"/>
    <w:rsid w:val="00285834"/>
    <w:rsid w:val="0028617D"/>
    <w:rsid w:val="00286E64"/>
    <w:rsid w:val="00290413"/>
    <w:rsid w:val="00290581"/>
    <w:rsid w:val="0029124F"/>
    <w:rsid w:val="00291830"/>
    <w:rsid w:val="00291A72"/>
    <w:rsid w:val="00291E65"/>
    <w:rsid w:val="002932FA"/>
    <w:rsid w:val="002933E1"/>
    <w:rsid w:val="002934EA"/>
    <w:rsid w:val="0029402D"/>
    <w:rsid w:val="00294D11"/>
    <w:rsid w:val="00294EAE"/>
    <w:rsid w:val="002958D6"/>
    <w:rsid w:val="00296036"/>
    <w:rsid w:val="0029689E"/>
    <w:rsid w:val="002968BE"/>
    <w:rsid w:val="00296C2A"/>
    <w:rsid w:val="002A061A"/>
    <w:rsid w:val="002A0E65"/>
    <w:rsid w:val="002A133D"/>
    <w:rsid w:val="002A194A"/>
    <w:rsid w:val="002A40B8"/>
    <w:rsid w:val="002A4B13"/>
    <w:rsid w:val="002A5926"/>
    <w:rsid w:val="002A78DA"/>
    <w:rsid w:val="002B033D"/>
    <w:rsid w:val="002B104F"/>
    <w:rsid w:val="002B2AC5"/>
    <w:rsid w:val="002B319C"/>
    <w:rsid w:val="002B32CF"/>
    <w:rsid w:val="002B59E5"/>
    <w:rsid w:val="002B6910"/>
    <w:rsid w:val="002B6CFB"/>
    <w:rsid w:val="002C02AC"/>
    <w:rsid w:val="002C07CD"/>
    <w:rsid w:val="002C0889"/>
    <w:rsid w:val="002C0BC8"/>
    <w:rsid w:val="002C0FDA"/>
    <w:rsid w:val="002C2633"/>
    <w:rsid w:val="002C2B63"/>
    <w:rsid w:val="002C2F6E"/>
    <w:rsid w:val="002C35DA"/>
    <w:rsid w:val="002C4121"/>
    <w:rsid w:val="002C499D"/>
    <w:rsid w:val="002C4D45"/>
    <w:rsid w:val="002C5B71"/>
    <w:rsid w:val="002C5F58"/>
    <w:rsid w:val="002C6763"/>
    <w:rsid w:val="002C78E2"/>
    <w:rsid w:val="002C7961"/>
    <w:rsid w:val="002D08D2"/>
    <w:rsid w:val="002D13C1"/>
    <w:rsid w:val="002D1577"/>
    <w:rsid w:val="002D21B2"/>
    <w:rsid w:val="002D295A"/>
    <w:rsid w:val="002D2E45"/>
    <w:rsid w:val="002D324B"/>
    <w:rsid w:val="002D4AD2"/>
    <w:rsid w:val="002D557E"/>
    <w:rsid w:val="002D597B"/>
    <w:rsid w:val="002D6C49"/>
    <w:rsid w:val="002D7C2C"/>
    <w:rsid w:val="002E00E0"/>
    <w:rsid w:val="002E1080"/>
    <w:rsid w:val="002E15FD"/>
    <w:rsid w:val="002E1B5E"/>
    <w:rsid w:val="002E1CB9"/>
    <w:rsid w:val="002E32D6"/>
    <w:rsid w:val="002E387E"/>
    <w:rsid w:val="002E4526"/>
    <w:rsid w:val="002E4B5E"/>
    <w:rsid w:val="002E4BD1"/>
    <w:rsid w:val="002E7409"/>
    <w:rsid w:val="002F035C"/>
    <w:rsid w:val="002F038C"/>
    <w:rsid w:val="002F1A92"/>
    <w:rsid w:val="002F1C7E"/>
    <w:rsid w:val="002F1EE1"/>
    <w:rsid w:val="002F1F96"/>
    <w:rsid w:val="002F4E62"/>
    <w:rsid w:val="002F683C"/>
    <w:rsid w:val="002F68E7"/>
    <w:rsid w:val="002F6CB2"/>
    <w:rsid w:val="002F7762"/>
    <w:rsid w:val="002F7BDB"/>
    <w:rsid w:val="002F7F72"/>
    <w:rsid w:val="00300246"/>
    <w:rsid w:val="00300974"/>
    <w:rsid w:val="003014DB"/>
    <w:rsid w:val="0030167C"/>
    <w:rsid w:val="0030210A"/>
    <w:rsid w:val="00302124"/>
    <w:rsid w:val="0030281F"/>
    <w:rsid w:val="0030292A"/>
    <w:rsid w:val="00302B82"/>
    <w:rsid w:val="00302E29"/>
    <w:rsid w:val="003030F5"/>
    <w:rsid w:val="003035BF"/>
    <w:rsid w:val="0030377D"/>
    <w:rsid w:val="00304523"/>
    <w:rsid w:val="00305A18"/>
    <w:rsid w:val="0030610E"/>
    <w:rsid w:val="00307726"/>
    <w:rsid w:val="003113A5"/>
    <w:rsid w:val="00311599"/>
    <w:rsid w:val="00312283"/>
    <w:rsid w:val="003124CA"/>
    <w:rsid w:val="00313340"/>
    <w:rsid w:val="00314488"/>
    <w:rsid w:val="00314FC1"/>
    <w:rsid w:val="0031604F"/>
    <w:rsid w:val="003163D7"/>
    <w:rsid w:val="0031699C"/>
    <w:rsid w:val="003176CF"/>
    <w:rsid w:val="00320568"/>
    <w:rsid w:val="00320677"/>
    <w:rsid w:val="0032155A"/>
    <w:rsid w:val="00321A2A"/>
    <w:rsid w:val="00321BED"/>
    <w:rsid w:val="00321E74"/>
    <w:rsid w:val="00321FAD"/>
    <w:rsid w:val="00322743"/>
    <w:rsid w:val="003243DE"/>
    <w:rsid w:val="0032441D"/>
    <w:rsid w:val="00324762"/>
    <w:rsid w:val="00324906"/>
    <w:rsid w:val="00326A31"/>
    <w:rsid w:val="00327A42"/>
    <w:rsid w:val="003307D0"/>
    <w:rsid w:val="00330984"/>
    <w:rsid w:val="00330B2E"/>
    <w:rsid w:val="003314F6"/>
    <w:rsid w:val="003319E7"/>
    <w:rsid w:val="00331E73"/>
    <w:rsid w:val="00332007"/>
    <w:rsid w:val="0033289D"/>
    <w:rsid w:val="00333D12"/>
    <w:rsid w:val="00333F75"/>
    <w:rsid w:val="00334B5F"/>
    <w:rsid w:val="00335944"/>
    <w:rsid w:val="00335AAB"/>
    <w:rsid w:val="00335F94"/>
    <w:rsid w:val="003376CD"/>
    <w:rsid w:val="00337712"/>
    <w:rsid w:val="00340513"/>
    <w:rsid w:val="00340844"/>
    <w:rsid w:val="00340C14"/>
    <w:rsid w:val="00342588"/>
    <w:rsid w:val="00342B93"/>
    <w:rsid w:val="00342F91"/>
    <w:rsid w:val="00344DCF"/>
    <w:rsid w:val="003455E5"/>
    <w:rsid w:val="00346FB4"/>
    <w:rsid w:val="003500E0"/>
    <w:rsid w:val="003502DA"/>
    <w:rsid w:val="00350537"/>
    <w:rsid w:val="00351C0F"/>
    <w:rsid w:val="00351CF4"/>
    <w:rsid w:val="00351F00"/>
    <w:rsid w:val="00352622"/>
    <w:rsid w:val="003526A9"/>
    <w:rsid w:val="00352743"/>
    <w:rsid w:val="00353C94"/>
    <w:rsid w:val="0035447F"/>
    <w:rsid w:val="0035559B"/>
    <w:rsid w:val="00355805"/>
    <w:rsid w:val="003560CF"/>
    <w:rsid w:val="00356C66"/>
    <w:rsid w:val="00357827"/>
    <w:rsid w:val="00357A07"/>
    <w:rsid w:val="00357B9B"/>
    <w:rsid w:val="00360B8B"/>
    <w:rsid w:val="00360B98"/>
    <w:rsid w:val="0036166A"/>
    <w:rsid w:val="00362656"/>
    <w:rsid w:val="00362A42"/>
    <w:rsid w:val="00362F09"/>
    <w:rsid w:val="00362F21"/>
    <w:rsid w:val="00363E23"/>
    <w:rsid w:val="0036475D"/>
    <w:rsid w:val="00364FAC"/>
    <w:rsid w:val="003650DB"/>
    <w:rsid w:val="003659CB"/>
    <w:rsid w:val="00366465"/>
    <w:rsid w:val="00366579"/>
    <w:rsid w:val="003667E8"/>
    <w:rsid w:val="0036772E"/>
    <w:rsid w:val="003701F5"/>
    <w:rsid w:val="00370326"/>
    <w:rsid w:val="0037122C"/>
    <w:rsid w:val="003717C7"/>
    <w:rsid w:val="00372158"/>
    <w:rsid w:val="0037298D"/>
    <w:rsid w:val="003732C5"/>
    <w:rsid w:val="00373D94"/>
    <w:rsid w:val="0037469C"/>
    <w:rsid w:val="00374937"/>
    <w:rsid w:val="00374AED"/>
    <w:rsid w:val="00375900"/>
    <w:rsid w:val="00375EC9"/>
    <w:rsid w:val="00376602"/>
    <w:rsid w:val="00376672"/>
    <w:rsid w:val="00377AF1"/>
    <w:rsid w:val="00380157"/>
    <w:rsid w:val="00380893"/>
    <w:rsid w:val="003808EF"/>
    <w:rsid w:val="00382FB3"/>
    <w:rsid w:val="003837BF"/>
    <w:rsid w:val="00383DB9"/>
    <w:rsid w:val="00383FD9"/>
    <w:rsid w:val="00384809"/>
    <w:rsid w:val="0038705A"/>
    <w:rsid w:val="003871A8"/>
    <w:rsid w:val="00387816"/>
    <w:rsid w:val="00387C68"/>
    <w:rsid w:val="00387DD5"/>
    <w:rsid w:val="003913F0"/>
    <w:rsid w:val="00394B8A"/>
    <w:rsid w:val="00395600"/>
    <w:rsid w:val="0039608E"/>
    <w:rsid w:val="003966CC"/>
    <w:rsid w:val="00396A14"/>
    <w:rsid w:val="00397527"/>
    <w:rsid w:val="003A05A6"/>
    <w:rsid w:val="003A0A2F"/>
    <w:rsid w:val="003A1535"/>
    <w:rsid w:val="003A17F4"/>
    <w:rsid w:val="003A2A59"/>
    <w:rsid w:val="003A2ED4"/>
    <w:rsid w:val="003A4384"/>
    <w:rsid w:val="003A47D5"/>
    <w:rsid w:val="003A48CC"/>
    <w:rsid w:val="003A4C1A"/>
    <w:rsid w:val="003A4C42"/>
    <w:rsid w:val="003A66D2"/>
    <w:rsid w:val="003A696E"/>
    <w:rsid w:val="003A6A3F"/>
    <w:rsid w:val="003A6B7A"/>
    <w:rsid w:val="003B0184"/>
    <w:rsid w:val="003B177F"/>
    <w:rsid w:val="003B1CAE"/>
    <w:rsid w:val="003B3079"/>
    <w:rsid w:val="003B457F"/>
    <w:rsid w:val="003B4BAF"/>
    <w:rsid w:val="003B5A24"/>
    <w:rsid w:val="003B5DD0"/>
    <w:rsid w:val="003B708B"/>
    <w:rsid w:val="003B7A3A"/>
    <w:rsid w:val="003C0227"/>
    <w:rsid w:val="003C0BC8"/>
    <w:rsid w:val="003C1378"/>
    <w:rsid w:val="003C1681"/>
    <w:rsid w:val="003C1862"/>
    <w:rsid w:val="003C2894"/>
    <w:rsid w:val="003C2B24"/>
    <w:rsid w:val="003C39DB"/>
    <w:rsid w:val="003C410F"/>
    <w:rsid w:val="003C4C1B"/>
    <w:rsid w:val="003C6220"/>
    <w:rsid w:val="003C73AC"/>
    <w:rsid w:val="003D34D4"/>
    <w:rsid w:val="003D4DE2"/>
    <w:rsid w:val="003D5386"/>
    <w:rsid w:val="003D549A"/>
    <w:rsid w:val="003D6411"/>
    <w:rsid w:val="003D6AD1"/>
    <w:rsid w:val="003D6B39"/>
    <w:rsid w:val="003E0178"/>
    <w:rsid w:val="003E0296"/>
    <w:rsid w:val="003E18CF"/>
    <w:rsid w:val="003E3DDD"/>
    <w:rsid w:val="003E5B11"/>
    <w:rsid w:val="003E5FD4"/>
    <w:rsid w:val="003E6285"/>
    <w:rsid w:val="003E6501"/>
    <w:rsid w:val="003E6747"/>
    <w:rsid w:val="003E6929"/>
    <w:rsid w:val="003E7481"/>
    <w:rsid w:val="003F0E69"/>
    <w:rsid w:val="003F169E"/>
    <w:rsid w:val="003F1B16"/>
    <w:rsid w:val="003F30A5"/>
    <w:rsid w:val="003F4088"/>
    <w:rsid w:val="003F4D1D"/>
    <w:rsid w:val="003F54D8"/>
    <w:rsid w:val="003F77D9"/>
    <w:rsid w:val="003F78FB"/>
    <w:rsid w:val="003F7D61"/>
    <w:rsid w:val="003F7FD6"/>
    <w:rsid w:val="00401670"/>
    <w:rsid w:val="004030E1"/>
    <w:rsid w:val="0040451B"/>
    <w:rsid w:val="0040455C"/>
    <w:rsid w:val="00404C1C"/>
    <w:rsid w:val="004059FE"/>
    <w:rsid w:val="004067EA"/>
    <w:rsid w:val="004117A7"/>
    <w:rsid w:val="00411942"/>
    <w:rsid w:val="00411A30"/>
    <w:rsid w:val="00411F39"/>
    <w:rsid w:val="00412C62"/>
    <w:rsid w:val="0041360E"/>
    <w:rsid w:val="00414151"/>
    <w:rsid w:val="0041454B"/>
    <w:rsid w:val="00414943"/>
    <w:rsid w:val="00415B9F"/>
    <w:rsid w:val="00416CE4"/>
    <w:rsid w:val="00416DEA"/>
    <w:rsid w:val="00416EE3"/>
    <w:rsid w:val="00420331"/>
    <w:rsid w:val="00420E36"/>
    <w:rsid w:val="0042214C"/>
    <w:rsid w:val="004234B3"/>
    <w:rsid w:val="00423E2D"/>
    <w:rsid w:val="0042414B"/>
    <w:rsid w:val="00424A87"/>
    <w:rsid w:val="00424C66"/>
    <w:rsid w:val="004254AC"/>
    <w:rsid w:val="00425777"/>
    <w:rsid w:val="00426DE2"/>
    <w:rsid w:val="004276C6"/>
    <w:rsid w:val="0043014C"/>
    <w:rsid w:val="00430511"/>
    <w:rsid w:val="00431C9D"/>
    <w:rsid w:val="0043209F"/>
    <w:rsid w:val="0043488B"/>
    <w:rsid w:val="004357D6"/>
    <w:rsid w:val="00435B26"/>
    <w:rsid w:val="00435D3A"/>
    <w:rsid w:val="00435EF6"/>
    <w:rsid w:val="00436320"/>
    <w:rsid w:val="0043680D"/>
    <w:rsid w:val="0043755C"/>
    <w:rsid w:val="00437DBF"/>
    <w:rsid w:val="00440461"/>
    <w:rsid w:val="004404FA"/>
    <w:rsid w:val="0044194E"/>
    <w:rsid w:val="00442E92"/>
    <w:rsid w:val="00442F79"/>
    <w:rsid w:val="00443731"/>
    <w:rsid w:val="00443F8B"/>
    <w:rsid w:val="00444665"/>
    <w:rsid w:val="004446B2"/>
    <w:rsid w:val="00444F03"/>
    <w:rsid w:val="00445981"/>
    <w:rsid w:val="004463CE"/>
    <w:rsid w:val="004473CC"/>
    <w:rsid w:val="004509A5"/>
    <w:rsid w:val="00450BC2"/>
    <w:rsid w:val="00451107"/>
    <w:rsid w:val="004514E8"/>
    <w:rsid w:val="0045152D"/>
    <w:rsid w:val="004518C9"/>
    <w:rsid w:val="004520E5"/>
    <w:rsid w:val="00452322"/>
    <w:rsid w:val="004524C8"/>
    <w:rsid w:val="00453064"/>
    <w:rsid w:val="004531AF"/>
    <w:rsid w:val="00453475"/>
    <w:rsid w:val="0045415D"/>
    <w:rsid w:val="00454431"/>
    <w:rsid w:val="0045497F"/>
    <w:rsid w:val="004555B7"/>
    <w:rsid w:val="00455A74"/>
    <w:rsid w:val="00455D65"/>
    <w:rsid w:val="00456AA1"/>
    <w:rsid w:val="00457946"/>
    <w:rsid w:val="004600C8"/>
    <w:rsid w:val="0046019D"/>
    <w:rsid w:val="00460C2F"/>
    <w:rsid w:val="00462B32"/>
    <w:rsid w:val="00462BBE"/>
    <w:rsid w:val="0046421E"/>
    <w:rsid w:val="00465658"/>
    <w:rsid w:val="0046589A"/>
    <w:rsid w:val="0046646B"/>
    <w:rsid w:val="0046662A"/>
    <w:rsid w:val="004700E7"/>
    <w:rsid w:val="004713D9"/>
    <w:rsid w:val="00471AB2"/>
    <w:rsid w:val="00472722"/>
    <w:rsid w:val="00472D4E"/>
    <w:rsid w:val="00473774"/>
    <w:rsid w:val="00473A76"/>
    <w:rsid w:val="00473BA5"/>
    <w:rsid w:val="00473BBB"/>
    <w:rsid w:val="0047418B"/>
    <w:rsid w:val="0047725B"/>
    <w:rsid w:val="004777DB"/>
    <w:rsid w:val="004779C4"/>
    <w:rsid w:val="00480581"/>
    <w:rsid w:val="00482825"/>
    <w:rsid w:val="00482BC7"/>
    <w:rsid w:val="00482EA9"/>
    <w:rsid w:val="00483E71"/>
    <w:rsid w:val="00484F1B"/>
    <w:rsid w:val="004852D0"/>
    <w:rsid w:val="00485E1A"/>
    <w:rsid w:val="00486669"/>
    <w:rsid w:val="00486C05"/>
    <w:rsid w:val="0048781C"/>
    <w:rsid w:val="00487C42"/>
    <w:rsid w:val="004907FB"/>
    <w:rsid w:val="004916A3"/>
    <w:rsid w:val="00491A7A"/>
    <w:rsid w:val="00491CC1"/>
    <w:rsid w:val="004926D1"/>
    <w:rsid w:val="0049299C"/>
    <w:rsid w:val="0049301E"/>
    <w:rsid w:val="0049373A"/>
    <w:rsid w:val="0049399F"/>
    <w:rsid w:val="00494A7A"/>
    <w:rsid w:val="004958B1"/>
    <w:rsid w:val="00495A6D"/>
    <w:rsid w:val="00496468"/>
    <w:rsid w:val="00497120"/>
    <w:rsid w:val="00497226"/>
    <w:rsid w:val="004979FC"/>
    <w:rsid w:val="00497CAC"/>
    <w:rsid w:val="00497EFA"/>
    <w:rsid w:val="004A07B9"/>
    <w:rsid w:val="004A1800"/>
    <w:rsid w:val="004A201E"/>
    <w:rsid w:val="004A20B9"/>
    <w:rsid w:val="004A2237"/>
    <w:rsid w:val="004A2EC2"/>
    <w:rsid w:val="004A373D"/>
    <w:rsid w:val="004A3D57"/>
    <w:rsid w:val="004A4424"/>
    <w:rsid w:val="004A4A8C"/>
    <w:rsid w:val="004A5342"/>
    <w:rsid w:val="004A5B6C"/>
    <w:rsid w:val="004A77DE"/>
    <w:rsid w:val="004B0407"/>
    <w:rsid w:val="004B13CF"/>
    <w:rsid w:val="004B190B"/>
    <w:rsid w:val="004B2B1F"/>
    <w:rsid w:val="004B378D"/>
    <w:rsid w:val="004B37DC"/>
    <w:rsid w:val="004B4077"/>
    <w:rsid w:val="004B5619"/>
    <w:rsid w:val="004B5EE9"/>
    <w:rsid w:val="004B609F"/>
    <w:rsid w:val="004B6806"/>
    <w:rsid w:val="004B684E"/>
    <w:rsid w:val="004B6C1C"/>
    <w:rsid w:val="004B6D81"/>
    <w:rsid w:val="004B7305"/>
    <w:rsid w:val="004B7C90"/>
    <w:rsid w:val="004C0707"/>
    <w:rsid w:val="004C093A"/>
    <w:rsid w:val="004C0DA4"/>
    <w:rsid w:val="004C0F05"/>
    <w:rsid w:val="004C144D"/>
    <w:rsid w:val="004C1639"/>
    <w:rsid w:val="004C1929"/>
    <w:rsid w:val="004C215B"/>
    <w:rsid w:val="004C254E"/>
    <w:rsid w:val="004C27E4"/>
    <w:rsid w:val="004C2AD6"/>
    <w:rsid w:val="004C464E"/>
    <w:rsid w:val="004C4E34"/>
    <w:rsid w:val="004C5BFA"/>
    <w:rsid w:val="004C5EB3"/>
    <w:rsid w:val="004C6D30"/>
    <w:rsid w:val="004C75BE"/>
    <w:rsid w:val="004D21B2"/>
    <w:rsid w:val="004D2775"/>
    <w:rsid w:val="004D2782"/>
    <w:rsid w:val="004D3481"/>
    <w:rsid w:val="004D379F"/>
    <w:rsid w:val="004D3DA3"/>
    <w:rsid w:val="004D5C82"/>
    <w:rsid w:val="004D5F96"/>
    <w:rsid w:val="004D72F5"/>
    <w:rsid w:val="004E06A0"/>
    <w:rsid w:val="004E071F"/>
    <w:rsid w:val="004E0C93"/>
    <w:rsid w:val="004E106F"/>
    <w:rsid w:val="004E1098"/>
    <w:rsid w:val="004E1DFF"/>
    <w:rsid w:val="004E220E"/>
    <w:rsid w:val="004E2ECF"/>
    <w:rsid w:val="004E3D58"/>
    <w:rsid w:val="004E431B"/>
    <w:rsid w:val="004E46B2"/>
    <w:rsid w:val="004E4E2C"/>
    <w:rsid w:val="004E5293"/>
    <w:rsid w:val="004E5A83"/>
    <w:rsid w:val="004F08B1"/>
    <w:rsid w:val="004F0B18"/>
    <w:rsid w:val="004F1F47"/>
    <w:rsid w:val="004F26FB"/>
    <w:rsid w:val="004F31BC"/>
    <w:rsid w:val="004F32A2"/>
    <w:rsid w:val="004F4215"/>
    <w:rsid w:val="004F4373"/>
    <w:rsid w:val="004F484A"/>
    <w:rsid w:val="004F4C12"/>
    <w:rsid w:val="004F51D5"/>
    <w:rsid w:val="004F625C"/>
    <w:rsid w:val="00500909"/>
    <w:rsid w:val="005014FB"/>
    <w:rsid w:val="00501697"/>
    <w:rsid w:val="005017E8"/>
    <w:rsid w:val="00502A21"/>
    <w:rsid w:val="00505E91"/>
    <w:rsid w:val="00506987"/>
    <w:rsid w:val="00507B51"/>
    <w:rsid w:val="00510AD1"/>
    <w:rsid w:val="00511B57"/>
    <w:rsid w:val="00511CB7"/>
    <w:rsid w:val="00512150"/>
    <w:rsid w:val="005130CF"/>
    <w:rsid w:val="00513178"/>
    <w:rsid w:val="00513BBF"/>
    <w:rsid w:val="00513C6B"/>
    <w:rsid w:val="00515A38"/>
    <w:rsid w:val="00515E45"/>
    <w:rsid w:val="00517BE2"/>
    <w:rsid w:val="00517F75"/>
    <w:rsid w:val="005214E1"/>
    <w:rsid w:val="00523C46"/>
    <w:rsid w:val="0052406C"/>
    <w:rsid w:val="0052435D"/>
    <w:rsid w:val="00524822"/>
    <w:rsid w:val="00524B00"/>
    <w:rsid w:val="00524D4D"/>
    <w:rsid w:val="005258CF"/>
    <w:rsid w:val="005279B5"/>
    <w:rsid w:val="005306E5"/>
    <w:rsid w:val="00532167"/>
    <w:rsid w:val="00532643"/>
    <w:rsid w:val="00532F9A"/>
    <w:rsid w:val="00533059"/>
    <w:rsid w:val="005330C2"/>
    <w:rsid w:val="00533185"/>
    <w:rsid w:val="0053425E"/>
    <w:rsid w:val="0053470D"/>
    <w:rsid w:val="00535082"/>
    <w:rsid w:val="0053517D"/>
    <w:rsid w:val="005369E6"/>
    <w:rsid w:val="00536CC3"/>
    <w:rsid w:val="00537A0A"/>
    <w:rsid w:val="00537A91"/>
    <w:rsid w:val="00540273"/>
    <w:rsid w:val="00540434"/>
    <w:rsid w:val="005406BE"/>
    <w:rsid w:val="00542E65"/>
    <w:rsid w:val="00542EBE"/>
    <w:rsid w:val="005437C9"/>
    <w:rsid w:val="00543906"/>
    <w:rsid w:val="00543D59"/>
    <w:rsid w:val="00544802"/>
    <w:rsid w:val="00545186"/>
    <w:rsid w:val="005451FA"/>
    <w:rsid w:val="0054799D"/>
    <w:rsid w:val="00550417"/>
    <w:rsid w:val="00550AD2"/>
    <w:rsid w:val="00550C75"/>
    <w:rsid w:val="00550D58"/>
    <w:rsid w:val="00551592"/>
    <w:rsid w:val="005527D0"/>
    <w:rsid w:val="00553871"/>
    <w:rsid w:val="00553F22"/>
    <w:rsid w:val="00553F66"/>
    <w:rsid w:val="00554E75"/>
    <w:rsid w:val="00554F14"/>
    <w:rsid w:val="00555326"/>
    <w:rsid w:val="005553CD"/>
    <w:rsid w:val="00555BAA"/>
    <w:rsid w:val="005579D6"/>
    <w:rsid w:val="005600CE"/>
    <w:rsid w:val="00560BC6"/>
    <w:rsid w:val="0056186E"/>
    <w:rsid w:val="0056196B"/>
    <w:rsid w:val="00563CA8"/>
    <w:rsid w:val="005641F8"/>
    <w:rsid w:val="00564F47"/>
    <w:rsid w:val="005654B8"/>
    <w:rsid w:val="00565E58"/>
    <w:rsid w:val="00566CA2"/>
    <w:rsid w:val="0056703E"/>
    <w:rsid w:val="00567280"/>
    <w:rsid w:val="005673E6"/>
    <w:rsid w:val="005702B3"/>
    <w:rsid w:val="00570ACB"/>
    <w:rsid w:val="00570CC9"/>
    <w:rsid w:val="0057161C"/>
    <w:rsid w:val="00571C5A"/>
    <w:rsid w:val="005720B2"/>
    <w:rsid w:val="005731FA"/>
    <w:rsid w:val="00573332"/>
    <w:rsid w:val="005743AF"/>
    <w:rsid w:val="0057456C"/>
    <w:rsid w:val="00574CE7"/>
    <w:rsid w:val="00575809"/>
    <w:rsid w:val="00575EA4"/>
    <w:rsid w:val="00575F2C"/>
    <w:rsid w:val="00576B9C"/>
    <w:rsid w:val="00576BCF"/>
    <w:rsid w:val="00576F31"/>
    <w:rsid w:val="00577DEA"/>
    <w:rsid w:val="005807BB"/>
    <w:rsid w:val="005822E6"/>
    <w:rsid w:val="00582F4D"/>
    <w:rsid w:val="0058376D"/>
    <w:rsid w:val="00584051"/>
    <w:rsid w:val="0058427C"/>
    <w:rsid w:val="005860C0"/>
    <w:rsid w:val="0058617F"/>
    <w:rsid w:val="00586389"/>
    <w:rsid w:val="005866A3"/>
    <w:rsid w:val="005868CE"/>
    <w:rsid w:val="00587269"/>
    <w:rsid w:val="00587B68"/>
    <w:rsid w:val="00587CA3"/>
    <w:rsid w:val="00590EE9"/>
    <w:rsid w:val="00591009"/>
    <w:rsid w:val="005911F5"/>
    <w:rsid w:val="005918CD"/>
    <w:rsid w:val="00591E12"/>
    <w:rsid w:val="00592032"/>
    <w:rsid w:val="00592297"/>
    <w:rsid w:val="005923FE"/>
    <w:rsid w:val="005924A9"/>
    <w:rsid w:val="0059286A"/>
    <w:rsid w:val="00592B16"/>
    <w:rsid w:val="00592DAE"/>
    <w:rsid w:val="005934CA"/>
    <w:rsid w:val="0059360F"/>
    <w:rsid w:val="00593B68"/>
    <w:rsid w:val="00593DF6"/>
    <w:rsid w:val="00594E07"/>
    <w:rsid w:val="00594E14"/>
    <w:rsid w:val="00595D61"/>
    <w:rsid w:val="00596CF6"/>
    <w:rsid w:val="00597057"/>
    <w:rsid w:val="00597148"/>
    <w:rsid w:val="0059723C"/>
    <w:rsid w:val="005973F3"/>
    <w:rsid w:val="0059772B"/>
    <w:rsid w:val="00597754"/>
    <w:rsid w:val="005979BA"/>
    <w:rsid w:val="00597A82"/>
    <w:rsid w:val="00597E0E"/>
    <w:rsid w:val="005A003B"/>
    <w:rsid w:val="005A1D5A"/>
    <w:rsid w:val="005A28B0"/>
    <w:rsid w:val="005A2EB5"/>
    <w:rsid w:val="005A2F89"/>
    <w:rsid w:val="005A368A"/>
    <w:rsid w:val="005A398C"/>
    <w:rsid w:val="005A3B70"/>
    <w:rsid w:val="005A3FD8"/>
    <w:rsid w:val="005A4B44"/>
    <w:rsid w:val="005A4E23"/>
    <w:rsid w:val="005A69F0"/>
    <w:rsid w:val="005A7208"/>
    <w:rsid w:val="005A7CEA"/>
    <w:rsid w:val="005B0ED4"/>
    <w:rsid w:val="005B20E6"/>
    <w:rsid w:val="005B2335"/>
    <w:rsid w:val="005B2CEE"/>
    <w:rsid w:val="005B568D"/>
    <w:rsid w:val="005B6AB3"/>
    <w:rsid w:val="005B713C"/>
    <w:rsid w:val="005B77D0"/>
    <w:rsid w:val="005B7AE3"/>
    <w:rsid w:val="005B7CC7"/>
    <w:rsid w:val="005C06FF"/>
    <w:rsid w:val="005C090D"/>
    <w:rsid w:val="005C0BA6"/>
    <w:rsid w:val="005C140C"/>
    <w:rsid w:val="005C1BD9"/>
    <w:rsid w:val="005C1FFD"/>
    <w:rsid w:val="005C2D74"/>
    <w:rsid w:val="005C3310"/>
    <w:rsid w:val="005C36BB"/>
    <w:rsid w:val="005C36C2"/>
    <w:rsid w:val="005C4BD3"/>
    <w:rsid w:val="005C5B33"/>
    <w:rsid w:val="005C78AD"/>
    <w:rsid w:val="005C78CD"/>
    <w:rsid w:val="005D0171"/>
    <w:rsid w:val="005D05C4"/>
    <w:rsid w:val="005D0B27"/>
    <w:rsid w:val="005D0F2A"/>
    <w:rsid w:val="005D144C"/>
    <w:rsid w:val="005D20BD"/>
    <w:rsid w:val="005D30D3"/>
    <w:rsid w:val="005D3E49"/>
    <w:rsid w:val="005D517E"/>
    <w:rsid w:val="005D51AC"/>
    <w:rsid w:val="005D5220"/>
    <w:rsid w:val="005D5853"/>
    <w:rsid w:val="005D68F9"/>
    <w:rsid w:val="005D6E16"/>
    <w:rsid w:val="005D744E"/>
    <w:rsid w:val="005D79A4"/>
    <w:rsid w:val="005E00D6"/>
    <w:rsid w:val="005E0104"/>
    <w:rsid w:val="005E06A4"/>
    <w:rsid w:val="005E1229"/>
    <w:rsid w:val="005E152C"/>
    <w:rsid w:val="005E1ECB"/>
    <w:rsid w:val="005E21CB"/>
    <w:rsid w:val="005E297E"/>
    <w:rsid w:val="005E29B8"/>
    <w:rsid w:val="005E3D7B"/>
    <w:rsid w:val="005E45EA"/>
    <w:rsid w:val="005E5849"/>
    <w:rsid w:val="005E6809"/>
    <w:rsid w:val="005E6BF7"/>
    <w:rsid w:val="005E71AF"/>
    <w:rsid w:val="005E7944"/>
    <w:rsid w:val="005E7FD1"/>
    <w:rsid w:val="005F1C3C"/>
    <w:rsid w:val="005F3C63"/>
    <w:rsid w:val="005F3FA6"/>
    <w:rsid w:val="005F41D6"/>
    <w:rsid w:val="005F575D"/>
    <w:rsid w:val="005F6710"/>
    <w:rsid w:val="005F6F40"/>
    <w:rsid w:val="005F6F9D"/>
    <w:rsid w:val="005F7157"/>
    <w:rsid w:val="006006B1"/>
    <w:rsid w:val="00600A04"/>
    <w:rsid w:val="00601C15"/>
    <w:rsid w:val="00602842"/>
    <w:rsid w:val="00602ECA"/>
    <w:rsid w:val="006032C2"/>
    <w:rsid w:val="006056E6"/>
    <w:rsid w:val="00605F40"/>
    <w:rsid w:val="00606C51"/>
    <w:rsid w:val="00606E89"/>
    <w:rsid w:val="006100E7"/>
    <w:rsid w:val="006108D4"/>
    <w:rsid w:val="00610D1E"/>
    <w:rsid w:val="00611239"/>
    <w:rsid w:val="00612350"/>
    <w:rsid w:val="006126A6"/>
    <w:rsid w:val="006137D0"/>
    <w:rsid w:val="00613AD3"/>
    <w:rsid w:val="00613BEF"/>
    <w:rsid w:val="006148C7"/>
    <w:rsid w:val="006153F0"/>
    <w:rsid w:val="00615745"/>
    <w:rsid w:val="00615780"/>
    <w:rsid w:val="00615B8F"/>
    <w:rsid w:val="00616B57"/>
    <w:rsid w:val="006178B8"/>
    <w:rsid w:val="00617B5D"/>
    <w:rsid w:val="006207F4"/>
    <w:rsid w:val="00621696"/>
    <w:rsid w:val="00622478"/>
    <w:rsid w:val="006225BF"/>
    <w:rsid w:val="00622783"/>
    <w:rsid w:val="00622824"/>
    <w:rsid w:val="00622A4A"/>
    <w:rsid w:val="00622B9F"/>
    <w:rsid w:val="0062345E"/>
    <w:rsid w:val="006235B2"/>
    <w:rsid w:val="00624D74"/>
    <w:rsid w:val="006253F3"/>
    <w:rsid w:val="00625A9B"/>
    <w:rsid w:val="00625C41"/>
    <w:rsid w:val="006266C0"/>
    <w:rsid w:val="00627F01"/>
    <w:rsid w:val="0063084E"/>
    <w:rsid w:val="0063189C"/>
    <w:rsid w:val="00634A06"/>
    <w:rsid w:val="00635636"/>
    <w:rsid w:val="00635D59"/>
    <w:rsid w:val="006361C2"/>
    <w:rsid w:val="00636659"/>
    <w:rsid w:val="00636ACF"/>
    <w:rsid w:val="00636F3C"/>
    <w:rsid w:val="00637185"/>
    <w:rsid w:val="006372F9"/>
    <w:rsid w:val="00637E93"/>
    <w:rsid w:val="0064003C"/>
    <w:rsid w:val="00640E12"/>
    <w:rsid w:val="0064111F"/>
    <w:rsid w:val="006420A9"/>
    <w:rsid w:val="00642B77"/>
    <w:rsid w:val="00642C23"/>
    <w:rsid w:val="00642E5C"/>
    <w:rsid w:val="00644D5B"/>
    <w:rsid w:val="00644DD5"/>
    <w:rsid w:val="00645900"/>
    <w:rsid w:val="006460BC"/>
    <w:rsid w:val="0064729C"/>
    <w:rsid w:val="006474F0"/>
    <w:rsid w:val="006511D1"/>
    <w:rsid w:val="0065190A"/>
    <w:rsid w:val="00651F60"/>
    <w:rsid w:val="00652A1E"/>
    <w:rsid w:val="00652FD7"/>
    <w:rsid w:val="00653546"/>
    <w:rsid w:val="00653817"/>
    <w:rsid w:val="00653892"/>
    <w:rsid w:val="00655EB5"/>
    <w:rsid w:val="00657887"/>
    <w:rsid w:val="0066049B"/>
    <w:rsid w:val="0066078D"/>
    <w:rsid w:val="00660B97"/>
    <w:rsid w:val="00663A8D"/>
    <w:rsid w:val="00664608"/>
    <w:rsid w:val="00664932"/>
    <w:rsid w:val="00664F2D"/>
    <w:rsid w:val="006654FC"/>
    <w:rsid w:val="00666D27"/>
    <w:rsid w:val="00667BF6"/>
    <w:rsid w:val="00667F22"/>
    <w:rsid w:val="0067066A"/>
    <w:rsid w:val="00670E56"/>
    <w:rsid w:val="006711E7"/>
    <w:rsid w:val="00671208"/>
    <w:rsid w:val="006712A4"/>
    <w:rsid w:val="006719C7"/>
    <w:rsid w:val="00671FF5"/>
    <w:rsid w:val="00672107"/>
    <w:rsid w:val="006726B4"/>
    <w:rsid w:val="00672800"/>
    <w:rsid w:val="00672B0E"/>
    <w:rsid w:val="006761C5"/>
    <w:rsid w:val="00676912"/>
    <w:rsid w:val="00677A01"/>
    <w:rsid w:val="006820D6"/>
    <w:rsid w:val="006828B7"/>
    <w:rsid w:val="00682C52"/>
    <w:rsid w:val="006869CC"/>
    <w:rsid w:val="00687AF1"/>
    <w:rsid w:val="00687B2D"/>
    <w:rsid w:val="00690892"/>
    <w:rsid w:val="00690DCC"/>
    <w:rsid w:val="00691BC8"/>
    <w:rsid w:val="006923D9"/>
    <w:rsid w:val="006926DE"/>
    <w:rsid w:val="00692D89"/>
    <w:rsid w:val="00692F61"/>
    <w:rsid w:val="00693AAD"/>
    <w:rsid w:val="00693BA5"/>
    <w:rsid w:val="00694829"/>
    <w:rsid w:val="00694B06"/>
    <w:rsid w:val="0069553E"/>
    <w:rsid w:val="00695689"/>
    <w:rsid w:val="0069637C"/>
    <w:rsid w:val="00697A0A"/>
    <w:rsid w:val="006A125C"/>
    <w:rsid w:val="006A1400"/>
    <w:rsid w:val="006A141B"/>
    <w:rsid w:val="006A1D83"/>
    <w:rsid w:val="006A1FF2"/>
    <w:rsid w:val="006A277E"/>
    <w:rsid w:val="006A3840"/>
    <w:rsid w:val="006A5689"/>
    <w:rsid w:val="006A6176"/>
    <w:rsid w:val="006A61B9"/>
    <w:rsid w:val="006A6531"/>
    <w:rsid w:val="006A6745"/>
    <w:rsid w:val="006A6A3A"/>
    <w:rsid w:val="006B019D"/>
    <w:rsid w:val="006B4359"/>
    <w:rsid w:val="006B5635"/>
    <w:rsid w:val="006B6057"/>
    <w:rsid w:val="006B7334"/>
    <w:rsid w:val="006C156B"/>
    <w:rsid w:val="006C19F7"/>
    <w:rsid w:val="006C24E3"/>
    <w:rsid w:val="006C32AB"/>
    <w:rsid w:val="006C59A6"/>
    <w:rsid w:val="006C5BF8"/>
    <w:rsid w:val="006C61DD"/>
    <w:rsid w:val="006C759A"/>
    <w:rsid w:val="006D021B"/>
    <w:rsid w:val="006D0432"/>
    <w:rsid w:val="006D05CD"/>
    <w:rsid w:val="006D0A93"/>
    <w:rsid w:val="006D0FA0"/>
    <w:rsid w:val="006D1028"/>
    <w:rsid w:val="006D109A"/>
    <w:rsid w:val="006D28F6"/>
    <w:rsid w:val="006D3276"/>
    <w:rsid w:val="006D3B66"/>
    <w:rsid w:val="006D4791"/>
    <w:rsid w:val="006D547A"/>
    <w:rsid w:val="006D55EB"/>
    <w:rsid w:val="006D5667"/>
    <w:rsid w:val="006D5DD0"/>
    <w:rsid w:val="006D705A"/>
    <w:rsid w:val="006E098F"/>
    <w:rsid w:val="006E11FC"/>
    <w:rsid w:val="006E171E"/>
    <w:rsid w:val="006E2165"/>
    <w:rsid w:val="006E22EB"/>
    <w:rsid w:val="006E247A"/>
    <w:rsid w:val="006E2EA4"/>
    <w:rsid w:val="006E3040"/>
    <w:rsid w:val="006E323B"/>
    <w:rsid w:val="006E3C71"/>
    <w:rsid w:val="006E478E"/>
    <w:rsid w:val="006E4CA4"/>
    <w:rsid w:val="006E7132"/>
    <w:rsid w:val="006E74BA"/>
    <w:rsid w:val="006E77DA"/>
    <w:rsid w:val="006E7A7F"/>
    <w:rsid w:val="006E7A98"/>
    <w:rsid w:val="006F11C3"/>
    <w:rsid w:val="006F1B43"/>
    <w:rsid w:val="006F25AB"/>
    <w:rsid w:val="006F2A29"/>
    <w:rsid w:val="006F395C"/>
    <w:rsid w:val="006F3C31"/>
    <w:rsid w:val="006F3C3E"/>
    <w:rsid w:val="006F3F25"/>
    <w:rsid w:val="006F3F6F"/>
    <w:rsid w:val="006F419A"/>
    <w:rsid w:val="006F472D"/>
    <w:rsid w:val="006F47B9"/>
    <w:rsid w:val="006F47ED"/>
    <w:rsid w:val="006F5070"/>
    <w:rsid w:val="006F5464"/>
    <w:rsid w:val="006F5A51"/>
    <w:rsid w:val="006F5E1E"/>
    <w:rsid w:val="006F5FCB"/>
    <w:rsid w:val="006F62BB"/>
    <w:rsid w:val="006F7F68"/>
    <w:rsid w:val="00701654"/>
    <w:rsid w:val="00701D35"/>
    <w:rsid w:val="007020FB"/>
    <w:rsid w:val="007023CD"/>
    <w:rsid w:val="00702574"/>
    <w:rsid w:val="00703206"/>
    <w:rsid w:val="00703B8F"/>
    <w:rsid w:val="00705820"/>
    <w:rsid w:val="00705CC9"/>
    <w:rsid w:val="00707D26"/>
    <w:rsid w:val="00710B35"/>
    <w:rsid w:val="00716003"/>
    <w:rsid w:val="00716380"/>
    <w:rsid w:val="00720DE2"/>
    <w:rsid w:val="007216D3"/>
    <w:rsid w:val="00722E29"/>
    <w:rsid w:val="00723BFC"/>
    <w:rsid w:val="00723C5F"/>
    <w:rsid w:val="00723E19"/>
    <w:rsid w:val="00723E36"/>
    <w:rsid w:val="00723EE7"/>
    <w:rsid w:val="00724992"/>
    <w:rsid w:val="00724DDC"/>
    <w:rsid w:val="0072504B"/>
    <w:rsid w:val="0072585D"/>
    <w:rsid w:val="007259F3"/>
    <w:rsid w:val="00726FAC"/>
    <w:rsid w:val="00727239"/>
    <w:rsid w:val="0072744E"/>
    <w:rsid w:val="007274F0"/>
    <w:rsid w:val="00727D8D"/>
    <w:rsid w:val="00730390"/>
    <w:rsid w:val="0073083B"/>
    <w:rsid w:val="00730931"/>
    <w:rsid w:val="007309BB"/>
    <w:rsid w:val="007310F2"/>
    <w:rsid w:val="00731C08"/>
    <w:rsid w:val="0073239D"/>
    <w:rsid w:val="00732811"/>
    <w:rsid w:val="00732D89"/>
    <w:rsid w:val="007330D3"/>
    <w:rsid w:val="00733E5C"/>
    <w:rsid w:val="00734DA7"/>
    <w:rsid w:val="0073649A"/>
    <w:rsid w:val="00736A33"/>
    <w:rsid w:val="0073728D"/>
    <w:rsid w:val="00737658"/>
    <w:rsid w:val="00737920"/>
    <w:rsid w:val="00737C83"/>
    <w:rsid w:val="00740DE5"/>
    <w:rsid w:val="00741536"/>
    <w:rsid w:val="007419A3"/>
    <w:rsid w:val="00741EC8"/>
    <w:rsid w:val="00742CD3"/>
    <w:rsid w:val="00742FE4"/>
    <w:rsid w:val="00743330"/>
    <w:rsid w:val="00743BA2"/>
    <w:rsid w:val="007461DD"/>
    <w:rsid w:val="00746907"/>
    <w:rsid w:val="00747A52"/>
    <w:rsid w:val="00750D78"/>
    <w:rsid w:val="00750E3D"/>
    <w:rsid w:val="00751908"/>
    <w:rsid w:val="0075586B"/>
    <w:rsid w:val="00756708"/>
    <w:rsid w:val="00756B83"/>
    <w:rsid w:val="00757513"/>
    <w:rsid w:val="007576C4"/>
    <w:rsid w:val="00760427"/>
    <w:rsid w:val="00761560"/>
    <w:rsid w:val="00762CB2"/>
    <w:rsid w:val="007635BA"/>
    <w:rsid w:val="00763C96"/>
    <w:rsid w:val="00763F65"/>
    <w:rsid w:val="00764631"/>
    <w:rsid w:val="00764D6B"/>
    <w:rsid w:val="00765A90"/>
    <w:rsid w:val="00765B7D"/>
    <w:rsid w:val="00765B8F"/>
    <w:rsid w:val="007661BB"/>
    <w:rsid w:val="0076650C"/>
    <w:rsid w:val="00766B9D"/>
    <w:rsid w:val="00767AE9"/>
    <w:rsid w:val="00767B52"/>
    <w:rsid w:val="00771490"/>
    <w:rsid w:val="00771536"/>
    <w:rsid w:val="00771B4C"/>
    <w:rsid w:val="00771B69"/>
    <w:rsid w:val="00771C6F"/>
    <w:rsid w:val="00771D95"/>
    <w:rsid w:val="00771FE2"/>
    <w:rsid w:val="0077314D"/>
    <w:rsid w:val="00773644"/>
    <w:rsid w:val="00773C1C"/>
    <w:rsid w:val="00774B3E"/>
    <w:rsid w:val="0077534C"/>
    <w:rsid w:val="007753F0"/>
    <w:rsid w:val="007758F0"/>
    <w:rsid w:val="00777569"/>
    <w:rsid w:val="007813A8"/>
    <w:rsid w:val="00782BF0"/>
    <w:rsid w:val="007831EF"/>
    <w:rsid w:val="00783AEF"/>
    <w:rsid w:val="00783DA7"/>
    <w:rsid w:val="00784BEF"/>
    <w:rsid w:val="00785A4E"/>
    <w:rsid w:val="00785EA8"/>
    <w:rsid w:val="00786E41"/>
    <w:rsid w:val="00787B77"/>
    <w:rsid w:val="0079043C"/>
    <w:rsid w:val="007905DC"/>
    <w:rsid w:val="007911F0"/>
    <w:rsid w:val="00791C90"/>
    <w:rsid w:val="00791D9F"/>
    <w:rsid w:val="007922AA"/>
    <w:rsid w:val="00792E62"/>
    <w:rsid w:val="00793804"/>
    <w:rsid w:val="00794A4B"/>
    <w:rsid w:val="007951CA"/>
    <w:rsid w:val="00795395"/>
    <w:rsid w:val="00795A73"/>
    <w:rsid w:val="00795C9A"/>
    <w:rsid w:val="00796559"/>
    <w:rsid w:val="007A18D2"/>
    <w:rsid w:val="007A1EC6"/>
    <w:rsid w:val="007A200F"/>
    <w:rsid w:val="007A268C"/>
    <w:rsid w:val="007A3087"/>
    <w:rsid w:val="007A3306"/>
    <w:rsid w:val="007A4916"/>
    <w:rsid w:val="007A60B7"/>
    <w:rsid w:val="007A6824"/>
    <w:rsid w:val="007A6996"/>
    <w:rsid w:val="007A6FF0"/>
    <w:rsid w:val="007B24BD"/>
    <w:rsid w:val="007B28C1"/>
    <w:rsid w:val="007B2DC4"/>
    <w:rsid w:val="007B3561"/>
    <w:rsid w:val="007B46E4"/>
    <w:rsid w:val="007B525F"/>
    <w:rsid w:val="007B5F1F"/>
    <w:rsid w:val="007B6D47"/>
    <w:rsid w:val="007B72E6"/>
    <w:rsid w:val="007B742D"/>
    <w:rsid w:val="007C1FDA"/>
    <w:rsid w:val="007C20A1"/>
    <w:rsid w:val="007C24A5"/>
    <w:rsid w:val="007C3B21"/>
    <w:rsid w:val="007C492D"/>
    <w:rsid w:val="007C5517"/>
    <w:rsid w:val="007C603A"/>
    <w:rsid w:val="007C615B"/>
    <w:rsid w:val="007C63F4"/>
    <w:rsid w:val="007C76BD"/>
    <w:rsid w:val="007C7848"/>
    <w:rsid w:val="007C7DC3"/>
    <w:rsid w:val="007C7E04"/>
    <w:rsid w:val="007D012C"/>
    <w:rsid w:val="007D0745"/>
    <w:rsid w:val="007D1245"/>
    <w:rsid w:val="007D13C6"/>
    <w:rsid w:val="007D348D"/>
    <w:rsid w:val="007D3841"/>
    <w:rsid w:val="007D41B8"/>
    <w:rsid w:val="007D4B38"/>
    <w:rsid w:val="007D53EB"/>
    <w:rsid w:val="007D555E"/>
    <w:rsid w:val="007D63FA"/>
    <w:rsid w:val="007D68F7"/>
    <w:rsid w:val="007D766A"/>
    <w:rsid w:val="007D77C1"/>
    <w:rsid w:val="007D7FDD"/>
    <w:rsid w:val="007E0604"/>
    <w:rsid w:val="007E0CE2"/>
    <w:rsid w:val="007E0D8B"/>
    <w:rsid w:val="007E15AA"/>
    <w:rsid w:val="007E2018"/>
    <w:rsid w:val="007E2B8C"/>
    <w:rsid w:val="007E4843"/>
    <w:rsid w:val="007E5921"/>
    <w:rsid w:val="007E6276"/>
    <w:rsid w:val="007E7748"/>
    <w:rsid w:val="007E7E1B"/>
    <w:rsid w:val="007F0144"/>
    <w:rsid w:val="007F17CB"/>
    <w:rsid w:val="007F40B8"/>
    <w:rsid w:val="007F47B5"/>
    <w:rsid w:val="007F48E8"/>
    <w:rsid w:val="007F50D4"/>
    <w:rsid w:val="007F5290"/>
    <w:rsid w:val="007F5E5D"/>
    <w:rsid w:val="007F6443"/>
    <w:rsid w:val="007F657D"/>
    <w:rsid w:val="007F6F31"/>
    <w:rsid w:val="007F7F65"/>
    <w:rsid w:val="008009B8"/>
    <w:rsid w:val="00800FE1"/>
    <w:rsid w:val="00802667"/>
    <w:rsid w:val="008044E4"/>
    <w:rsid w:val="00804AB1"/>
    <w:rsid w:val="00805541"/>
    <w:rsid w:val="00806066"/>
    <w:rsid w:val="00806232"/>
    <w:rsid w:val="008067B3"/>
    <w:rsid w:val="00806AA5"/>
    <w:rsid w:val="008071F4"/>
    <w:rsid w:val="008101BD"/>
    <w:rsid w:val="00810EB1"/>
    <w:rsid w:val="008118A2"/>
    <w:rsid w:val="00811F09"/>
    <w:rsid w:val="0081243E"/>
    <w:rsid w:val="00812C70"/>
    <w:rsid w:val="0081367A"/>
    <w:rsid w:val="00813BFB"/>
    <w:rsid w:val="008146E3"/>
    <w:rsid w:val="00814C0C"/>
    <w:rsid w:val="00814ED7"/>
    <w:rsid w:val="00815FFC"/>
    <w:rsid w:val="008168A6"/>
    <w:rsid w:val="00816D6A"/>
    <w:rsid w:val="0081742E"/>
    <w:rsid w:val="00817535"/>
    <w:rsid w:val="008176F0"/>
    <w:rsid w:val="0082041E"/>
    <w:rsid w:val="008207D8"/>
    <w:rsid w:val="00821BFB"/>
    <w:rsid w:val="0082285B"/>
    <w:rsid w:val="008235F9"/>
    <w:rsid w:val="00823F7D"/>
    <w:rsid w:val="00824F08"/>
    <w:rsid w:val="00825ABB"/>
    <w:rsid w:val="00825D61"/>
    <w:rsid w:val="0082640F"/>
    <w:rsid w:val="0082647D"/>
    <w:rsid w:val="008275D6"/>
    <w:rsid w:val="00827781"/>
    <w:rsid w:val="00827B16"/>
    <w:rsid w:val="00827CE0"/>
    <w:rsid w:val="00830E25"/>
    <w:rsid w:val="0083228C"/>
    <w:rsid w:val="00832AF9"/>
    <w:rsid w:val="00832F37"/>
    <w:rsid w:val="008347E1"/>
    <w:rsid w:val="00835A6D"/>
    <w:rsid w:val="00835CEF"/>
    <w:rsid w:val="00835FE4"/>
    <w:rsid w:val="008362CD"/>
    <w:rsid w:val="008364E7"/>
    <w:rsid w:val="0083661E"/>
    <w:rsid w:val="00836F3B"/>
    <w:rsid w:val="00840E75"/>
    <w:rsid w:val="00840E76"/>
    <w:rsid w:val="00840ED1"/>
    <w:rsid w:val="00841282"/>
    <w:rsid w:val="00841668"/>
    <w:rsid w:val="0084191E"/>
    <w:rsid w:val="00841A96"/>
    <w:rsid w:val="00842FFE"/>
    <w:rsid w:val="0084330C"/>
    <w:rsid w:val="008435D6"/>
    <w:rsid w:val="00843E65"/>
    <w:rsid w:val="008440FA"/>
    <w:rsid w:val="00844B4F"/>
    <w:rsid w:val="00844C5D"/>
    <w:rsid w:val="008451BC"/>
    <w:rsid w:val="00845C6C"/>
    <w:rsid w:val="00845E86"/>
    <w:rsid w:val="00846A4C"/>
    <w:rsid w:val="00846A9F"/>
    <w:rsid w:val="008502BC"/>
    <w:rsid w:val="008514D1"/>
    <w:rsid w:val="0085178A"/>
    <w:rsid w:val="00851CC5"/>
    <w:rsid w:val="00851FDA"/>
    <w:rsid w:val="0085274E"/>
    <w:rsid w:val="00853088"/>
    <w:rsid w:val="00853B58"/>
    <w:rsid w:val="0085439A"/>
    <w:rsid w:val="008549D7"/>
    <w:rsid w:val="00854C07"/>
    <w:rsid w:val="008602B1"/>
    <w:rsid w:val="00860476"/>
    <w:rsid w:val="00860731"/>
    <w:rsid w:val="0086097D"/>
    <w:rsid w:val="008616E7"/>
    <w:rsid w:val="00861CFE"/>
    <w:rsid w:val="0086322A"/>
    <w:rsid w:val="00863360"/>
    <w:rsid w:val="00863820"/>
    <w:rsid w:val="0086630B"/>
    <w:rsid w:val="00867BD3"/>
    <w:rsid w:val="008703C2"/>
    <w:rsid w:val="008706B6"/>
    <w:rsid w:val="00870F85"/>
    <w:rsid w:val="00871A21"/>
    <w:rsid w:val="008730B5"/>
    <w:rsid w:val="008733A3"/>
    <w:rsid w:val="008739F0"/>
    <w:rsid w:val="00873D83"/>
    <w:rsid w:val="00875196"/>
    <w:rsid w:val="00876A67"/>
    <w:rsid w:val="00880FCB"/>
    <w:rsid w:val="0088174C"/>
    <w:rsid w:val="00881980"/>
    <w:rsid w:val="0088264A"/>
    <w:rsid w:val="00882890"/>
    <w:rsid w:val="00882F50"/>
    <w:rsid w:val="00883FE8"/>
    <w:rsid w:val="008844C2"/>
    <w:rsid w:val="00884AA8"/>
    <w:rsid w:val="00884B90"/>
    <w:rsid w:val="0088554E"/>
    <w:rsid w:val="00885737"/>
    <w:rsid w:val="0088633E"/>
    <w:rsid w:val="008900FB"/>
    <w:rsid w:val="00890D04"/>
    <w:rsid w:val="00892045"/>
    <w:rsid w:val="008926BE"/>
    <w:rsid w:val="008927B3"/>
    <w:rsid w:val="00892819"/>
    <w:rsid w:val="00892B5F"/>
    <w:rsid w:val="0089307F"/>
    <w:rsid w:val="00894016"/>
    <w:rsid w:val="00894121"/>
    <w:rsid w:val="008945F0"/>
    <w:rsid w:val="00896773"/>
    <w:rsid w:val="00896C3D"/>
    <w:rsid w:val="0089752D"/>
    <w:rsid w:val="00897539"/>
    <w:rsid w:val="008A0F9A"/>
    <w:rsid w:val="008A1E87"/>
    <w:rsid w:val="008A1EB7"/>
    <w:rsid w:val="008A2591"/>
    <w:rsid w:val="008A334C"/>
    <w:rsid w:val="008A3414"/>
    <w:rsid w:val="008A347C"/>
    <w:rsid w:val="008A3AED"/>
    <w:rsid w:val="008A3B00"/>
    <w:rsid w:val="008A4A9B"/>
    <w:rsid w:val="008A6931"/>
    <w:rsid w:val="008A6B77"/>
    <w:rsid w:val="008A71EF"/>
    <w:rsid w:val="008A7801"/>
    <w:rsid w:val="008A7C8D"/>
    <w:rsid w:val="008B07BD"/>
    <w:rsid w:val="008B1CD1"/>
    <w:rsid w:val="008B2C96"/>
    <w:rsid w:val="008B2DBE"/>
    <w:rsid w:val="008B2E36"/>
    <w:rsid w:val="008B3B0D"/>
    <w:rsid w:val="008B4AC7"/>
    <w:rsid w:val="008B4D8D"/>
    <w:rsid w:val="008B548A"/>
    <w:rsid w:val="008B5527"/>
    <w:rsid w:val="008B5693"/>
    <w:rsid w:val="008B5CF5"/>
    <w:rsid w:val="008B5DF2"/>
    <w:rsid w:val="008B64C7"/>
    <w:rsid w:val="008B6E94"/>
    <w:rsid w:val="008B757C"/>
    <w:rsid w:val="008B796A"/>
    <w:rsid w:val="008B7D41"/>
    <w:rsid w:val="008C0CC9"/>
    <w:rsid w:val="008C17DD"/>
    <w:rsid w:val="008C30CA"/>
    <w:rsid w:val="008C440A"/>
    <w:rsid w:val="008C51DC"/>
    <w:rsid w:val="008C5304"/>
    <w:rsid w:val="008C5497"/>
    <w:rsid w:val="008C59C5"/>
    <w:rsid w:val="008C5AA1"/>
    <w:rsid w:val="008C5DF4"/>
    <w:rsid w:val="008D00F6"/>
    <w:rsid w:val="008D0443"/>
    <w:rsid w:val="008D0822"/>
    <w:rsid w:val="008D0B68"/>
    <w:rsid w:val="008D2802"/>
    <w:rsid w:val="008D2E3A"/>
    <w:rsid w:val="008D41AE"/>
    <w:rsid w:val="008D5618"/>
    <w:rsid w:val="008D594C"/>
    <w:rsid w:val="008D61CD"/>
    <w:rsid w:val="008D6300"/>
    <w:rsid w:val="008D673D"/>
    <w:rsid w:val="008D6EB2"/>
    <w:rsid w:val="008D7850"/>
    <w:rsid w:val="008D7BDF"/>
    <w:rsid w:val="008E11E7"/>
    <w:rsid w:val="008E1EA6"/>
    <w:rsid w:val="008E38E5"/>
    <w:rsid w:val="008E4E28"/>
    <w:rsid w:val="008E6C0B"/>
    <w:rsid w:val="008F0ADD"/>
    <w:rsid w:val="008F1469"/>
    <w:rsid w:val="008F22A1"/>
    <w:rsid w:val="008F2DAB"/>
    <w:rsid w:val="008F3863"/>
    <w:rsid w:val="008F3A00"/>
    <w:rsid w:val="008F3B5F"/>
    <w:rsid w:val="008F4F15"/>
    <w:rsid w:val="008F5814"/>
    <w:rsid w:val="008F61BD"/>
    <w:rsid w:val="008F798C"/>
    <w:rsid w:val="00900A57"/>
    <w:rsid w:val="00901E35"/>
    <w:rsid w:val="00901FDA"/>
    <w:rsid w:val="00902207"/>
    <w:rsid w:val="00904106"/>
    <w:rsid w:val="0090473E"/>
    <w:rsid w:val="00905192"/>
    <w:rsid w:val="009056C7"/>
    <w:rsid w:val="009068CC"/>
    <w:rsid w:val="00906E7A"/>
    <w:rsid w:val="0090731C"/>
    <w:rsid w:val="00907D44"/>
    <w:rsid w:val="009102F6"/>
    <w:rsid w:val="00910866"/>
    <w:rsid w:val="00911107"/>
    <w:rsid w:val="00911181"/>
    <w:rsid w:val="0091271D"/>
    <w:rsid w:val="00912E7A"/>
    <w:rsid w:val="00914BF0"/>
    <w:rsid w:val="009151C2"/>
    <w:rsid w:val="00916461"/>
    <w:rsid w:val="00921140"/>
    <w:rsid w:val="009216F5"/>
    <w:rsid w:val="00921F7E"/>
    <w:rsid w:val="009229FE"/>
    <w:rsid w:val="00923950"/>
    <w:rsid w:val="00924AF4"/>
    <w:rsid w:val="00925BEE"/>
    <w:rsid w:val="009264AC"/>
    <w:rsid w:val="00927069"/>
    <w:rsid w:val="009273A8"/>
    <w:rsid w:val="009273B5"/>
    <w:rsid w:val="00930CE2"/>
    <w:rsid w:val="00932510"/>
    <w:rsid w:val="009330AE"/>
    <w:rsid w:val="009345EE"/>
    <w:rsid w:val="009346B4"/>
    <w:rsid w:val="00940C73"/>
    <w:rsid w:val="00940DB9"/>
    <w:rsid w:val="00941A59"/>
    <w:rsid w:val="00941C8F"/>
    <w:rsid w:val="0094209B"/>
    <w:rsid w:val="009423C8"/>
    <w:rsid w:val="00942732"/>
    <w:rsid w:val="0094283D"/>
    <w:rsid w:val="0094312E"/>
    <w:rsid w:val="00943218"/>
    <w:rsid w:val="00943F8A"/>
    <w:rsid w:val="009444C8"/>
    <w:rsid w:val="00944A69"/>
    <w:rsid w:val="00944C33"/>
    <w:rsid w:val="00944E1D"/>
    <w:rsid w:val="00946D34"/>
    <w:rsid w:val="00946E39"/>
    <w:rsid w:val="0094719E"/>
    <w:rsid w:val="009473D1"/>
    <w:rsid w:val="009478D6"/>
    <w:rsid w:val="00947A26"/>
    <w:rsid w:val="00950BC9"/>
    <w:rsid w:val="00951CEE"/>
    <w:rsid w:val="00951E3B"/>
    <w:rsid w:val="00951F31"/>
    <w:rsid w:val="0095238E"/>
    <w:rsid w:val="00952F35"/>
    <w:rsid w:val="00952FF7"/>
    <w:rsid w:val="009537E5"/>
    <w:rsid w:val="009540A3"/>
    <w:rsid w:val="0095528A"/>
    <w:rsid w:val="00955480"/>
    <w:rsid w:val="009561B1"/>
    <w:rsid w:val="00956A29"/>
    <w:rsid w:val="009614C7"/>
    <w:rsid w:val="00963869"/>
    <w:rsid w:val="00963BC7"/>
    <w:rsid w:val="00963E75"/>
    <w:rsid w:val="00964014"/>
    <w:rsid w:val="00964189"/>
    <w:rsid w:val="00965262"/>
    <w:rsid w:val="00965C38"/>
    <w:rsid w:val="00970C60"/>
    <w:rsid w:val="00971BC1"/>
    <w:rsid w:val="0097203A"/>
    <w:rsid w:val="0097217D"/>
    <w:rsid w:val="00972C7D"/>
    <w:rsid w:val="00974038"/>
    <w:rsid w:val="00974897"/>
    <w:rsid w:val="00974D1F"/>
    <w:rsid w:val="00975D58"/>
    <w:rsid w:val="00975EB7"/>
    <w:rsid w:val="00975F9B"/>
    <w:rsid w:val="0097613E"/>
    <w:rsid w:val="0097629F"/>
    <w:rsid w:val="00977BAA"/>
    <w:rsid w:val="00980002"/>
    <w:rsid w:val="0098064F"/>
    <w:rsid w:val="00980E58"/>
    <w:rsid w:val="009814EF"/>
    <w:rsid w:val="00981F07"/>
    <w:rsid w:val="0098434D"/>
    <w:rsid w:val="009843D0"/>
    <w:rsid w:val="00984855"/>
    <w:rsid w:val="00984F1E"/>
    <w:rsid w:val="00985675"/>
    <w:rsid w:val="009859A4"/>
    <w:rsid w:val="00986204"/>
    <w:rsid w:val="0098649A"/>
    <w:rsid w:val="00986845"/>
    <w:rsid w:val="00986DD9"/>
    <w:rsid w:val="00986E74"/>
    <w:rsid w:val="00987249"/>
    <w:rsid w:val="009873B9"/>
    <w:rsid w:val="00987F64"/>
    <w:rsid w:val="00990A48"/>
    <w:rsid w:val="00990B64"/>
    <w:rsid w:val="009912A5"/>
    <w:rsid w:val="009913C0"/>
    <w:rsid w:val="009922EC"/>
    <w:rsid w:val="009924B2"/>
    <w:rsid w:val="00992787"/>
    <w:rsid w:val="00992837"/>
    <w:rsid w:val="009929E9"/>
    <w:rsid w:val="00992BB2"/>
    <w:rsid w:val="00993418"/>
    <w:rsid w:val="00993456"/>
    <w:rsid w:val="00993796"/>
    <w:rsid w:val="00993806"/>
    <w:rsid w:val="00993D41"/>
    <w:rsid w:val="00994774"/>
    <w:rsid w:val="0099625B"/>
    <w:rsid w:val="00996D85"/>
    <w:rsid w:val="00997177"/>
    <w:rsid w:val="00997912"/>
    <w:rsid w:val="00997956"/>
    <w:rsid w:val="00997C1B"/>
    <w:rsid w:val="00997C6F"/>
    <w:rsid w:val="009A0EAC"/>
    <w:rsid w:val="009A2A5D"/>
    <w:rsid w:val="009A2AEC"/>
    <w:rsid w:val="009A4EFA"/>
    <w:rsid w:val="009A7384"/>
    <w:rsid w:val="009B2C8A"/>
    <w:rsid w:val="009B3C6A"/>
    <w:rsid w:val="009B53BE"/>
    <w:rsid w:val="009B7EF2"/>
    <w:rsid w:val="009C0CD1"/>
    <w:rsid w:val="009C1458"/>
    <w:rsid w:val="009C2C4F"/>
    <w:rsid w:val="009C2D7E"/>
    <w:rsid w:val="009C313C"/>
    <w:rsid w:val="009C32D5"/>
    <w:rsid w:val="009C4170"/>
    <w:rsid w:val="009C4EEF"/>
    <w:rsid w:val="009C50B9"/>
    <w:rsid w:val="009D047A"/>
    <w:rsid w:val="009D0AD7"/>
    <w:rsid w:val="009D0C08"/>
    <w:rsid w:val="009D1DFD"/>
    <w:rsid w:val="009D20DB"/>
    <w:rsid w:val="009D2DEB"/>
    <w:rsid w:val="009D37A3"/>
    <w:rsid w:val="009D3ACB"/>
    <w:rsid w:val="009D4B0C"/>
    <w:rsid w:val="009D5269"/>
    <w:rsid w:val="009D5582"/>
    <w:rsid w:val="009D79E5"/>
    <w:rsid w:val="009D7AB0"/>
    <w:rsid w:val="009D7D6A"/>
    <w:rsid w:val="009E00EC"/>
    <w:rsid w:val="009E040F"/>
    <w:rsid w:val="009E0FA2"/>
    <w:rsid w:val="009E1001"/>
    <w:rsid w:val="009E1054"/>
    <w:rsid w:val="009E15C9"/>
    <w:rsid w:val="009E2416"/>
    <w:rsid w:val="009E252C"/>
    <w:rsid w:val="009E2B70"/>
    <w:rsid w:val="009E381F"/>
    <w:rsid w:val="009E4062"/>
    <w:rsid w:val="009E49E6"/>
    <w:rsid w:val="009E4E8B"/>
    <w:rsid w:val="009E6022"/>
    <w:rsid w:val="009E616D"/>
    <w:rsid w:val="009E69C2"/>
    <w:rsid w:val="009F03C9"/>
    <w:rsid w:val="009F16E0"/>
    <w:rsid w:val="009F206B"/>
    <w:rsid w:val="009F2E6D"/>
    <w:rsid w:val="009F357D"/>
    <w:rsid w:val="009F3A2F"/>
    <w:rsid w:val="009F45EF"/>
    <w:rsid w:val="009F4C63"/>
    <w:rsid w:val="009F51A3"/>
    <w:rsid w:val="009F5401"/>
    <w:rsid w:val="009F61BC"/>
    <w:rsid w:val="009F6FDE"/>
    <w:rsid w:val="009F7A7D"/>
    <w:rsid w:val="00A00015"/>
    <w:rsid w:val="00A00114"/>
    <w:rsid w:val="00A0109F"/>
    <w:rsid w:val="00A01361"/>
    <w:rsid w:val="00A014C9"/>
    <w:rsid w:val="00A03199"/>
    <w:rsid w:val="00A035F9"/>
    <w:rsid w:val="00A03B35"/>
    <w:rsid w:val="00A04082"/>
    <w:rsid w:val="00A04276"/>
    <w:rsid w:val="00A053C8"/>
    <w:rsid w:val="00A06532"/>
    <w:rsid w:val="00A100B0"/>
    <w:rsid w:val="00A10950"/>
    <w:rsid w:val="00A10C86"/>
    <w:rsid w:val="00A11E94"/>
    <w:rsid w:val="00A126DB"/>
    <w:rsid w:val="00A12BFC"/>
    <w:rsid w:val="00A13387"/>
    <w:rsid w:val="00A13F4C"/>
    <w:rsid w:val="00A13F4D"/>
    <w:rsid w:val="00A1437D"/>
    <w:rsid w:val="00A15456"/>
    <w:rsid w:val="00A15864"/>
    <w:rsid w:val="00A15EF0"/>
    <w:rsid w:val="00A162FC"/>
    <w:rsid w:val="00A165D8"/>
    <w:rsid w:val="00A16F3C"/>
    <w:rsid w:val="00A17A6E"/>
    <w:rsid w:val="00A20872"/>
    <w:rsid w:val="00A209AB"/>
    <w:rsid w:val="00A20E09"/>
    <w:rsid w:val="00A224AA"/>
    <w:rsid w:val="00A22623"/>
    <w:rsid w:val="00A22B7B"/>
    <w:rsid w:val="00A230BB"/>
    <w:rsid w:val="00A23267"/>
    <w:rsid w:val="00A237BE"/>
    <w:rsid w:val="00A25FA8"/>
    <w:rsid w:val="00A261A1"/>
    <w:rsid w:val="00A265D4"/>
    <w:rsid w:val="00A27A7B"/>
    <w:rsid w:val="00A3039F"/>
    <w:rsid w:val="00A30639"/>
    <w:rsid w:val="00A32090"/>
    <w:rsid w:val="00A32F30"/>
    <w:rsid w:val="00A33312"/>
    <w:rsid w:val="00A3375C"/>
    <w:rsid w:val="00A33DBE"/>
    <w:rsid w:val="00A3527A"/>
    <w:rsid w:val="00A35F3A"/>
    <w:rsid w:val="00A365AE"/>
    <w:rsid w:val="00A3717E"/>
    <w:rsid w:val="00A37301"/>
    <w:rsid w:val="00A40328"/>
    <w:rsid w:val="00A411C0"/>
    <w:rsid w:val="00A41B7E"/>
    <w:rsid w:val="00A421F2"/>
    <w:rsid w:val="00A43204"/>
    <w:rsid w:val="00A434C4"/>
    <w:rsid w:val="00A443CC"/>
    <w:rsid w:val="00A445D8"/>
    <w:rsid w:val="00A44CF5"/>
    <w:rsid w:val="00A45812"/>
    <w:rsid w:val="00A45BE7"/>
    <w:rsid w:val="00A50581"/>
    <w:rsid w:val="00A528DD"/>
    <w:rsid w:val="00A529D8"/>
    <w:rsid w:val="00A529F7"/>
    <w:rsid w:val="00A52D1B"/>
    <w:rsid w:val="00A53236"/>
    <w:rsid w:val="00A54931"/>
    <w:rsid w:val="00A55043"/>
    <w:rsid w:val="00A55974"/>
    <w:rsid w:val="00A55AEE"/>
    <w:rsid w:val="00A55EA7"/>
    <w:rsid w:val="00A571ED"/>
    <w:rsid w:val="00A578F8"/>
    <w:rsid w:val="00A57AB0"/>
    <w:rsid w:val="00A57BA6"/>
    <w:rsid w:val="00A6096D"/>
    <w:rsid w:val="00A61C17"/>
    <w:rsid w:val="00A62934"/>
    <w:rsid w:val="00A62A00"/>
    <w:rsid w:val="00A63E74"/>
    <w:rsid w:val="00A641BD"/>
    <w:rsid w:val="00A6499E"/>
    <w:rsid w:val="00A6521E"/>
    <w:rsid w:val="00A67633"/>
    <w:rsid w:val="00A677BE"/>
    <w:rsid w:val="00A67CA8"/>
    <w:rsid w:val="00A7120C"/>
    <w:rsid w:val="00A7181F"/>
    <w:rsid w:val="00A71D82"/>
    <w:rsid w:val="00A73487"/>
    <w:rsid w:val="00A7373B"/>
    <w:rsid w:val="00A73CAD"/>
    <w:rsid w:val="00A743E7"/>
    <w:rsid w:val="00A74D2C"/>
    <w:rsid w:val="00A74EE8"/>
    <w:rsid w:val="00A750B6"/>
    <w:rsid w:val="00A751C5"/>
    <w:rsid w:val="00A75A4B"/>
    <w:rsid w:val="00A76234"/>
    <w:rsid w:val="00A76975"/>
    <w:rsid w:val="00A7714C"/>
    <w:rsid w:val="00A77754"/>
    <w:rsid w:val="00A7788C"/>
    <w:rsid w:val="00A80AB1"/>
    <w:rsid w:val="00A819EB"/>
    <w:rsid w:val="00A830A4"/>
    <w:rsid w:val="00A8321D"/>
    <w:rsid w:val="00A843A1"/>
    <w:rsid w:val="00A843BF"/>
    <w:rsid w:val="00A846ED"/>
    <w:rsid w:val="00A855F8"/>
    <w:rsid w:val="00A85664"/>
    <w:rsid w:val="00A85CA2"/>
    <w:rsid w:val="00A8632A"/>
    <w:rsid w:val="00A864EB"/>
    <w:rsid w:val="00A86FFE"/>
    <w:rsid w:val="00A87536"/>
    <w:rsid w:val="00A901A5"/>
    <w:rsid w:val="00A91610"/>
    <w:rsid w:val="00A91864"/>
    <w:rsid w:val="00A92280"/>
    <w:rsid w:val="00A92526"/>
    <w:rsid w:val="00A92CA7"/>
    <w:rsid w:val="00A92D66"/>
    <w:rsid w:val="00A9302A"/>
    <w:rsid w:val="00A93429"/>
    <w:rsid w:val="00A93A58"/>
    <w:rsid w:val="00A94766"/>
    <w:rsid w:val="00A94C1B"/>
    <w:rsid w:val="00A94FCD"/>
    <w:rsid w:val="00A94FE0"/>
    <w:rsid w:val="00A95106"/>
    <w:rsid w:val="00A956BD"/>
    <w:rsid w:val="00A95E28"/>
    <w:rsid w:val="00A96B89"/>
    <w:rsid w:val="00A96DD8"/>
    <w:rsid w:val="00A97AEA"/>
    <w:rsid w:val="00A97B54"/>
    <w:rsid w:val="00A97E8F"/>
    <w:rsid w:val="00AA1480"/>
    <w:rsid w:val="00AA26E7"/>
    <w:rsid w:val="00AA2A9D"/>
    <w:rsid w:val="00AA2D6B"/>
    <w:rsid w:val="00AA35D9"/>
    <w:rsid w:val="00AA5016"/>
    <w:rsid w:val="00AA5017"/>
    <w:rsid w:val="00AA54F0"/>
    <w:rsid w:val="00AA5910"/>
    <w:rsid w:val="00AA688B"/>
    <w:rsid w:val="00AA6B7A"/>
    <w:rsid w:val="00AA6F63"/>
    <w:rsid w:val="00AB08D1"/>
    <w:rsid w:val="00AB0EEC"/>
    <w:rsid w:val="00AB2093"/>
    <w:rsid w:val="00AB3E38"/>
    <w:rsid w:val="00AB43FD"/>
    <w:rsid w:val="00AB55F5"/>
    <w:rsid w:val="00AB5AA2"/>
    <w:rsid w:val="00AB5AE2"/>
    <w:rsid w:val="00AB5BD3"/>
    <w:rsid w:val="00AB5F69"/>
    <w:rsid w:val="00AB6064"/>
    <w:rsid w:val="00AB62CE"/>
    <w:rsid w:val="00AB6856"/>
    <w:rsid w:val="00AB6E58"/>
    <w:rsid w:val="00AB77F7"/>
    <w:rsid w:val="00AB7E11"/>
    <w:rsid w:val="00AC13F4"/>
    <w:rsid w:val="00AC2975"/>
    <w:rsid w:val="00AC3756"/>
    <w:rsid w:val="00AC420E"/>
    <w:rsid w:val="00AC5065"/>
    <w:rsid w:val="00AC5247"/>
    <w:rsid w:val="00AC57E9"/>
    <w:rsid w:val="00AC645E"/>
    <w:rsid w:val="00AC6EFC"/>
    <w:rsid w:val="00AC717F"/>
    <w:rsid w:val="00AC78FA"/>
    <w:rsid w:val="00AD27AC"/>
    <w:rsid w:val="00AD3835"/>
    <w:rsid w:val="00AD4339"/>
    <w:rsid w:val="00AD4A76"/>
    <w:rsid w:val="00AD5854"/>
    <w:rsid w:val="00AD5936"/>
    <w:rsid w:val="00AD5FBA"/>
    <w:rsid w:val="00AD777A"/>
    <w:rsid w:val="00AE087E"/>
    <w:rsid w:val="00AE0B43"/>
    <w:rsid w:val="00AE1FA1"/>
    <w:rsid w:val="00AE2A92"/>
    <w:rsid w:val="00AE5070"/>
    <w:rsid w:val="00AE52A9"/>
    <w:rsid w:val="00AE63BB"/>
    <w:rsid w:val="00AE73FA"/>
    <w:rsid w:val="00AE75BF"/>
    <w:rsid w:val="00AF0208"/>
    <w:rsid w:val="00AF1251"/>
    <w:rsid w:val="00AF1D7E"/>
    <w:rsid w:val="00AF1DDF"/>
    <w:rsid w:val="00AF247C"/>
    <w:rsid w:val="00AF2746"/>
    <w:rsid w:val="00AF4194"/>
    <w:rsid w:val="00AF4DCB"/>
    <w:rsid w:val="00AF6046"/>
    <w:rsid w:val="00AF6250"/>
    <w:rsid w:val="00AF660D"/>
    <w:rsid w:val="00AF66F4"/>
    <w:rsid w:val="00AF705E"/>
    <w:rsid w:val="00B004A9"/>
    <w:rsid w:val="00B00943"/>
    <w:rsid w:val="00B00BC0"/>
    <w:rsid w:val="00B00BF1"/>
    <w:rsid w:val="00B014EA"/>
    <w:rsid w:val="00B01F26"/>
    <w:rsid w:val="00B025AA"/>
    <w:rsid w:val="00B02D05"/>
    <w:rsid w:val="00B030B3"/>
    <w:rsid w:val="00B030C2"/>
    <w:rsid w:val="00B0371C"/>
    <w:rsid w:val="00B0388F"/>
    <w:rsid w:val="00B04160"/>
    <w:rsid w:val="00B04815"/>
    <w:rsid w:val="00B04C28"/>
    <w:rsid w:val="00B05531"/>
    <w:rsid w:val="00B05B10"/>
    <w:rsid w:val="00B072D9"/>
    <w:rsid w:val="00B076B3"/>
    <w:rsid w:val="00B10565"/>
    <w:rsid w:val="00B1056C"/>
    <w:rsid w:val="00B10E88"/>
    <w:rsid w:val="00B1228D"/>
    <w:rsid w:val="00B124E3"/>
    <w:rsid w:val="00B1292C"/>
    <w:rsid w:val="00B14C34"/>
    <w:rsid w:val="00B155C7"/>
    <w:rsid w:val="00B161EF"/>
    <w:rsid w:val="00B16E4E"/>
    <w:rsid w:val="00B176DF"/>
    <w:rsid w:val="00B17AC8"/>
    <w:rsid w:val="00B20392"/>
    <w:rsid w:val="00B2039E"/>
    <w:rsid w:val="00B2151C"/>
    <w:rsid w:val="00B21C50"/>
    <w:rsid w:val="00B21D6D"/>
    <w:rsid w:val="00B223AB"/>
    <w:rsid w:val="00B2285E"/>
    <w:rsid w:val="00B22B1A"/>
    <w:rsid w:val="00B22C03"/>
    <w:rsid w:val="00B22D68"/>
    <w:rsid w:val="00B22F70"/>
    <w:rsid w:val="00B2385C"/>
    <w:rsid w:val="00B23DC6"/>
    <w:rsid w:val="00B24298"/>
    <w:rsid w:val="00B2432F"/>
    <w:rsid w:val="00B24733"/>
    <w:rsid w:val="00B249E5"/>
    <w:rsid w:val="00B2553B"/>
    <w:rsid w:val="00B25576"/>
    <w:rsid w:val="00B2596D"/>
    <w:rsid w:val="00B259CE"/>
    <w:rsid w:val="00B25EFB"/>
    <w:rsid w:val="00B261CD"/>
    <w:rsid w:val="00B2665C"/>
    <w:rsid w:val="00B26893"/>
    <w:rsid w:val="00B26A6D"/>
    <w:rsid w:val="00B2727B"/>
    <w:rsid w:val="00B30BA3"/>
    <w:rsid w:val="00B30BED"/>
    <w:rsid w:val="00B311D3"/>
    <w:rsid w:val="00B31246"/>
    <w:rsid w:val="00B31837"/>
    <w:rsid w:val="00B318F9"/>
    <w:rsid w:val="00B32669"/>
    <w:rsid w:val="00B337E3"/>
    <w:rsid w:val="00B33C33"/>
    <w:rsid w:val="00B33E07"/>
    <w:rsid w:val="00B3491E"/>
    <w:rsid w:val="00B35091"/>
    <w:rsid w:val="00B357FD"/>
    <w:rsid w:val="00B41D76"/>
    <w:rsid w:val="00B4321A"/>
    <w:rsid w:val="00B432BE"/>
    <w:rsid w:val="00B44CA3"/>
    <w:rsid w:val="00B44F0C"/>
    <w:rsid w:val="00B464F6"/>
    <w:rsid w:val="00B46E23"/>
    <w:rsid w:val="00B470BF"/>
    <w:rsid w:val="00B47EB6"/>
    <w:rsid w:val="00B509E0"/>
    <w:rsid w:val="00B526CA"/>
    <w:rsid w:val="00B526FE"/>
    <w:rsid w:val="00B53D5C"/>
    <w:rsid w:val="00B54103"/>
    <w:rsid w:val="00B5457C"/>
    <w:rsid w:val="00B545A6"/>
    <w:rsid w:val="00B5512A"/>
    <w:rsid w:val="00B559E7"/>
    <w:rsid w:val="00B5679B"/>
    <w:rsid w:val="00B5738E"/>
    <w:rsid w:val="00B57637"/>
    <w:rsid w:val="00B604E0"/>
    <w:rsid w:val="00B61F89"/>
    <w:rsid w:val="00B6233B"/>
    <w:rsid w:val="00B6292F"/>
    <w:rsid w:val="00B6327C"/>
    <w:rsid w:val="00B63579"/>
    <w:rsid w:val="00B65067"/>
    <w:rsid w:val="00B6506C"/>
    <w:rsid w:val="00B65C38"/>
    <w:rsid w:val="00B66512"/>
    <w:rsid w:val="00B668D0"/>
    <w:rsid w:val="00B669F7"/>
    <w:rsid w:val="00B674C5"/>
    <w:rsid w:val="00B67FF3"/>
    <w:rsid w:val="00B7059F"/>
    <w:rsid w:val="00B70A29"/>
    <w:rsid w:val="00B71828"/>
    <w:rsid w:val="00B71F21"/>
    <w:rsid w:val="00B72938"/>
    <w:rsid w:val="00B767E2"/>
    <w:rsid w:val="00B76BB1"/>
    <w:rsid w:val="00B77050"/>
    <w:rsid w:val="00B8003A"/>
    <w:rsid w:val="00B80041"/>
    <w:rsid w:val="00B80D13"/>
    <w:rsid w:val="00B810D7"/>
    <w:rsid w:val="00B813A8"/>
    <w:rsid w:val="00B820EB"/>
    <w:rsid w:val="00B8246D"/>
    <w:rsid w:val="00B82518"/>
    <w:rsid w:val="00B8345C"/>
    <w:rsid w:val="00B8353A"/>
    <w:rsid w:val="00B837DB"/>
    <w:rsid w:val="00B849C9"/>
    <w:rsid w:val="00B84A7B"/>
    <w:rsid w:val="00B84CC5"/>
    <w:rsid w:val="00B84F2D"/>
    <w:rsid w:val="00B8660B"/>
    <w:rsid w:val="00B86E8C"/>
    <w:rsid w:val="00B871CC"/>
    <w:rsid w:val="00B87DAA"/>
    <w:rsid w:val="00B87FD2"/>
    <w:rsid w:val="00B9003E"/>
    <w:rsid w:val="00B91180"/>
    <w:rsid w:val="00B91412"/>
    <w:rsid w:val="00B91919"/>
    <w:rsid w:val="00B92023"/>
    <w:rsid w:val="00B92080"/>
    <w:rsid w:val="00B93074"/>
    <w:rsid w:val="00B93191"/>
    <w:rsid w:val="00B947F9"/>
    <w:rsid w:val="00B94998"/>
    <w:rsid w:val="00B955E1"/>
    <w:rsid w:val="00B955F7"/>
    <w:rsid w:val="00B95AF7"/>
    <w:rsid w:val="00B95E85"/>
    <w:rsid w:val="00B96BEC"/>
    <w:rsid w:val="00B9732B"/>
    <w:rsid w:val="00B97577"/>
    <w:rsid w:val="00B978E5"/>
    <w:rsid w:val="00B9790D"/>
    <w:rsid w:val="00BA0286"/>
    <w:rsid w:val="00BA0846"/>
    <w:rsid w:val="00BA1E57"/>
    <w:rsid w:val="00BA269D"/>
    <w:rsid w:val="00BA2CA9"/>
    <w:rsid w:val="00BA32EC"/>
    <w:rsid w:val="00BA3E30"/>
    <w:rsid w:val="00BA41AC"/>
    <w:rsid w:val="00BA4C27"/>
    <w:rsid w:val="00BA53E2"/>
    <w:rsid w:val="00BA53F3"/>
    <w:rsid w:val="00BA57C9"/>
    <w:rsid w:val="00BA5D5B"/>
    <w:rsid w:val="00BA687C"/>
    <w:rsid w:val="00BA747D"/>
    <w:rsid w:val="00BA7A30"/>
    <w:rsid w:val="00BA7CA7"/>
    <w:rsid w:val="00BB08A8"/>
    <w:rsid w:val="00BB0B06"/>
    <w:rsid w:val="00BB1DCB"/>
    <w:rsid w:val="00BB25ED"/>
    <w:rsid w:val="00BB2D81"/>
    <w:rsid w:val="00BB3160"/>
    <w:rsid w:val="00BB3551"/>
    <w:rsid w:val="00BB37B1"/>
    <w:rsid w:val="00BB5736"/>
    <w:rsid w:val="00BB62B6"/>
    <w:rsid w:val="00BB7070"/>
    <w:rsid w:val="00BB76CA"/>
    <w:rsid w:val="00BB77BB"/>
    <w:rsid w:val="00BB78D8"/>
    <w:rsid w:val="00BC0C44"/>
    <w:rsid w:val="00BC189A"/>
    <w:rsid w:val="00BC284F"/>
    <w:rsid w:val="00BC2E60"/>
    <w:rsid w:val="00BC2F19"/>
    <w:rsid w:val="00BC3BDE"/>
    <w:rsid w:val="00BC51CD"/>
    <w:rsid w:val="00BC5421"/>
    <w:rsid w:val="00BC60C3"/>
    <w:rsid w:val="00BC7064"/>
    <w:rsid w:val="00BC7AE5"/>
    <w:rsid w:val="00BD0850"/>
    <w:rsid w:val="00BD08A3"/>
    <w:rsid w:val="00BD21A0"/>
    <w:rsid w:val="00BD298E"/>
    <w:rsid w:val="00BD2A44"/>
    <w:rsid w:val="00BD4312"/>
    <w:rsid w:val="00BD516D"/>
    <w:rsid w:val="00BD51E8"/>
    <w:rsid w:val="00BD6334"/>
    <w:rsid w:val="00BD6848"/>
    <w:rsid w:val="00BD6A5D"/>
    <w:rsid w:val="00BD7E72"/>
    <w:rsid w:val="00BE25E8"/>
    <w:rsid w:val="00BE382C"/>
    <w:rsid w:val="00BE469D"/>
    <w:rsid w:val="00BE51B7"/>
    <w:rsid w:val="00BE5324"/>
    <w:rsid w:val="00BE581D"/>
    <w:rsid w:val="00BE5C9C"/>
    <w:rsid w:val="00BE6895"/>
    <w:rsid w:val="00BE6FA8"/>
    <w:rsid w:val="00BE7954"/>
    <w:rsid w:val="00BF01D8"/>
    <w:rsid w:val="00BF069E"/>
    <w:rsid w:val="00BF1E49"/>
    <w:rsid w:val="00BF2D73"/>
    <w:rsid w:val="00BF2F3E"/>
    <w:rsid w:val="00BF311F"/>
    <w:rsid w:val="00BF3F48"/>
    <w:rsid w:val="00BF5543"/>
    <w:rsid w:val="00BF5550"/>
    <w:rsid w:val="00BF5A7F"/>
    <w:rsid w:val="00BF5C4E"/>
    <w:rsid w:val="00BF60A4"/>
    <w:rsid w:val="00BF7067"/>
    <w:rsid w:val="00BF730E"/>
    <w:rsid w:val="00C0008F"/>
    <w:rsid w:val="00C0012E"/>
    <w:rsid w:val="00C013A1"/>
    <w:rsid w:val="00C01FF9"/>
    <w:rsid w:val="00C02EB3"/>
    <w:rsid w:val="00C03363"/>
    <w:rsid w:val="00C04A88"/>
    <w:rsid w:val="00C04C90"/>
    <w:rsid w:val="00C04CD2"/>
    <w:rsid w:val="00C05870"/>
    <w:rsid w:val="00C05D23"/>
    <w:rsid w:val="00C062B8"/>
    <w:rsid w:val="00C1030B"/>
    <w:rsid w:val="00C103A8"/>
    <w:rsid w:val="00C1064E"/>
    <w:rsid w:val="00C117C2"/>
    <w:rsid w:val="00C119ED"/>
    <w:rsid w:val="00C12046"/>
    <w:rsid w:val="00C135C8"/>
    <w:rsid w:val="00C152A9"/>
    <w:rsid w:val="00C15662"/>
    <w:rsid w:val="00C15E3C"/>
    <w:rsid w:val="00C168FC"/>
    <w:rsid w:val="00C204A9"/>
    <w:rsid w:val="00C20C6A"/>
    <w:rsid w:val="00C245EA"/>
    <w:rsid w:val="00C246F1"/>
    <w:rsid w:val="00C259A1"/>
    <w:rsid w:val="00C25B06"/>
    <w:rsid w:val="00C266E6"/>
    <w:rsid w:val="00C275C4"/>
    <w:rsid w:val="00C27F0E"/>
    <w:rsid w:val="00C27FFC"/>
    <w:rsid w:val="00C30131"/>
    <w:rsid w:val="00C307AA"/>
    <w:rsid w:val="00C30CED"/>
    <w:rsid w:val="00C327B7"/>
    <w:rsid w:val="00C3283F"/>
    <w:rsid w:val="00C33122"/>
    <w:rsid w:val="00C3368E"/>
    <w:rsid w:val="00C3383B"/>
    <w:rsid w:val="00C33A6D"/>
    <w:rsid w:val="00C349C9"/>
    <w:rsid w:val="00C35F20"/>
    <w:rsid w:val="00C36A72"/>
    <w:rsid w:val="00C36FCE"/>
    <w:rsid w:val="00C3723C"/>
    <w:rsid w:val="00C37940"/>
    <w:rsid w:val="00C40642"/>
    <w:rsid w:val="00C4075D"/>
    <w:rsid w:val="00C41300"/>
    <w:rsid w:val="00C41957"/>
    <w:rsid w:val="00C41A8C"/>
    <w:rsid w:val="00C424AE"/>
    <w:rsid w:val="00C43986"/>
    <w:rsid w:val="00C44A4D"/>
    <w:rsid w:val="00C454D3"/>
    <w:rsid w:val="00C45780"/>
    <w:rsid w:val="00C45E8D"/>
    <w:rsid w:val="00C46F88"/>
    <w:rsid w:val="00C476EA"/>
    <w:rsid w:val="00C4780E"/>
    <w:rsid w:val="00C47C38"/>
    <w:rsid w:val="00C47FA0"/>
    <w:rsid w:val="00C502E0"/>
    <w:rsid w:val="00C51DF9"/>
    <w:rsid w:val="00C51FD5"/>
    <w:rsid w:val="00C52FCE"/>
    <w:rsid w:val="00C530CA"/>
    <w:rsid w:val="00C548DF"/>
    <w:rsid w:val="00C55B85"/>
    <w:rsid w:val="00C56BE8"/>
    <w:rsid w:val="00C57515"/>
    <w:rsid w:val="00C5791B"/>
    <w:rsid w:val="00C57E70"/>
    <w:rsid w:val="00C6120F"/>
    <w:rsid w:val="00C62463"/>
    <w:rsid w:val="00C63961"/>
    <w:rsid w:val="00C63B21"/>
    <w:rsid w:val="00C64218"/>
    <w:rsid w:val="00C65B56"/>
    <w:rsid w:val="00C660C5"/>
    <w:rsid w:val="00C66D3C"/>
    <w:rsid w:val="00C67DEC"/>
    <w:rsid w:val="00C70074"/>
    <w:rsid w:val="00C701D5"/>
    <w:rsid w:val="00C708D4"/>
    <w:rsid w:val="00C70932"/>
    <w:rsid w:val="00C71040"/>
    <w:rsid w:val="00C71333"/>
    <w:rsid w:val="00C7176E"/>
    <w:rsid w:val="00C71DC2"/>
    <w:rsid w:val="00C71FF6"/>
    <w:rsid w:val="00C724AA"/>
    <w:rsid w:val="00C72BAB"/>
    <w:rsid w:val="00C72F15"/>
    <w:rsid w:val="00C74047"/>
    <w:rsid w:val="00C74152"/>
    <w:rsid w:val="00C745A2"/>
    <w:rsid w:val="00C74731"/>
    <w:rsid w:val="00C76D01"/>
    <w:rsid w:val="00C779FA"/>
    <w:rsid w:val="00C804C8"/>
    <w:rsid w:val="00C813AE"/>
    <w:rsid w:val="00C82936"/>
    <w:rsid w:val="00C82EAF"/>
    <w:rsid w:val="00C83974"/>
    <w:rsid w:val="00C83B9E"/>
    <w:rsid w:val="00C84FC6"/>
    <w:rsid w:val="00C85242"/>
    <w:rsid w:val="00C85BD1"/>
    <w:rsid w:val="00C85E7D"/>
    <w:rsid w:val="00C86BB1"/>
    <w:rsid w:val="00C86C41"/>
    <w:rsid w:val="00C871F0"/>
    <w:rsid w:val="00C8722C"/>
    <w:rsid w:val="00C90045"/>
    <w:rsid w:val="00C907CB"/>
    <w:rsid w:val="00C90BA7"/>
    <w:rsid w:val="00C91D07"/>
    <w:rsid w:val="00C91F82"/>
    <w:rsid w:val="00C921BD"/>
    <w:rsid w:val="00C92AE6"/>
    <w:rsid w:val="00C934EB"/>
    <w:rsid w:val="00C94CF6"/>
    <w:rsid w:val="00C95563"/>
    <w:rsid w:val="00C9604B"/>
    <w:rsid w:val="00C96375"/>
    <w:rsid w:val="00C978AD"/>
    <w:rsid w:val="00C97C58"/>
    <w:rsid w:val="00CA02FB"/>
    <w:rsid w:val="00CA04BE"/>
    <w:rsid w:val="00CA0EDF"/>
    <w:rsid w:val="00CA21B3"/>
    <w:rsid w:val="00CA35A7"/>
    <w:rsid w:val="00CA3A38"/>
    <w:rsid w:val="00CA465D"/>
    <w:rsid w:val="00CA4E43"/>
    <w:rsid w:val="00CA753D"/>
    <w:rsid w:val="00CA7AD8"/>
    <w:rsid w:val="00CB1601"/>
    <w:rsid w:val="00CB3DA3"/>
    <w:rsid w:val="00CB3DE2"/>
    <w:rsid w:val="00CB40AB"/>
    <w:rsid w:val="00CB451E"/>
    <w:rsid w:val="00CB543B"/>
    <w:rsid w:val="00CB6FAE"/>
    <w:rsid w:val="00CC14A0"/>
    <w:rsid w:val="00CC1638"/>
    <w:rsid w:val="00CC2061"/>
    <w:rsid w:val="00CC36EE"/>
    <w:rsid w:val="00CC3BC8"/>
    <w:rsid w:val="00CC5599"/>
    <w:rsid w:val="00CC60DB"/>
    <w:rsid w:val="00CD12BF"/>
    <w:rsid w:val="00CD17AB"/>
    <w:rsid w:val="00CD184E"/>
    <w:rsid w:val="00CD1E0E"/>
    <w:rsid w:val="00CD2078"/>
    <w:rsid w:val="00CD228A"/>
    <w:rsid w:val="00CD25C7"/>
    <w:rsid w:val="00CD419A"/>
    <w:rsid w:val="00CD46EA"/>
    <w:rsid w:val="00CD522F"/>
    <w:rsid w:val="00CD56E3"/>
    <w:rsid w:val="00CD5983"/>
    <w:rsid w:val="00CD6D28"/>
    <w:rsid w:val="00CD7C60"/>
    <w:rsid w:val="00CE029F"/>
    <w:rsid w:val="00CE02A6"/>
    <w:rsid w:val="00CE059F"/>
    <w:rsid w:val="00CE172A"/>
    <w:rsid w:val="00CE304C"/>
    <w:rsid w:val="00CE305E"/>
    <w:rsid w:val="00CE492E"/>
    <w:rsid w:val="00CE4A21"/>
    <w:rsid w:val="00CE4A89"/>
    <w:rsid w:val="00CE650A"/>
    <w:rsid w:val="00CE6742"/>
    <w:rsid w:val="00CE6F75"/>
    <w:rsid w:val="00CE6F76"/>
    <w:rsid w:val="00CE76CA"/>
    <w:rsid w:val="00CF00E9"/>
    <w:rsid w:val="00CF0428"/>
    <w:rsid w:val="00CF057B"/>
    <w:rsid w:val="00CF073D"/>
    <w:rsid w:val="00CF1B2D"/>
    <w:rsid w:val="00CF1D6E"/>
    <w:rsid w:val="00CF1D8A"/>
    <w:rsid w:val="00CF24FD"/>
    <w:rsid w:val="00CF2D8B"/>
    <w:rsid w:val="00CF304D"/>
    <w:rsid w:val="00CF3B15"/>
    <w:rsid w:val="00CF3EBE"/>
    <w:rsid w:val="00CF4CA8"/>
    <w:rsid w:val="00CF62D0"/>
    <w:rsid w:val="00CF7664"/>
    <w:rsid w:val="00D00058"/>
    <w:rsid w:val="00D029C8"/>
    <w:rsid w:val="00D02E51"/>
    <w:rsid w:val="00D03925"/>
    <w:rsid w:val="00D04595"/>
    <w:rsid w:val="00D05A9A"/>
    <w:rsid w:val="00D07893"/>
    <w:rsid w:val="00D0797E"/>
    <w:rsid w:val="00D11F40"/>
    <w:rsid w:val="00D127EF"/>
    <w:rsid w:val="00D139E9"/>
    <w:rsid w:val="00D13FCD"/>
    <w:rsid w:val="00D13FDD"/>
    <w:rsid w:val="00D14B2E"/>
    <w:rsid w:val="00D14F48"/>
    <w:rsid w:val="00D15109"/>
    <w:rsid w:val="00D15D24"/>
    <w:rsid w:val="00D16329"/>
    <w:rsid w:val="00D17322"/>
    <w:rsid w:val="00D1772C"/>
    <w:rsid w:val="00D20196"/>
    <w:rsid w:val="00D213FF"/>
    <w:rsid w:val="00D223E2"/>
    <w:rsid w:val="00D23ED4"/>
    <w:rsid w:val="00D23F7B"/>
    <w:rsid w:val="00D24438"/>
    <w:rsid w:val="00D24916"/>
    <w:rsid w:val="00D24CDD"/>
    <w:rsid w:val="00D26787"/>
    <w:rsid w:val="00D26C3E"/>
    <w:rsid w:val="00D27F07"/>
    <w:rsid w:val="00D30F2D"/>
    <w:rsid w:val="00D31244"/>
    <w:rsid w:val="00D31308"/>
    <w:rsid w:val="00D3144A"/>
    <w:rsid w:val="00D32079"/>
    <w:rsid w:val="00D323A4"/>
    <w:rsid w:val="00D3272B"/>
    <w:rsid w:val="00D331B1"/>
    <w:rsid w:val="00D333BE"/>
    <w:rsid w:val="00D341D2"/>
    <w:rsid w:val="00D354FD"/>
    <w:rsid w:val="00D36575"/>
    <w:rsid w:val="00D377DD"/>
    <w:rsid w:val="00D37A3B"/>
    <w:rsid w:val="00D37C4B"/>
    <w:rsid w:val="00D40BF8"/>
    <w:rsid w:val="00D41883"/>
    <w:rsid w:val="00D41C01"/>
    <w:rsid w:val="00D41DBA"/>
    <w:rsid w:val="00D41E3A"/>
    <w:rsid w:val="00D42559"/>
    <w:rsid w:val="00D43023"/>
    <w:rsid w:val="00D44599"/>
    <w:rsid w:val="00D45555"/>
    <w:rsid w:val="00D45A24"/>
    <w:rsid w:val="00D466D6"/>
    <w:rsid w:val="00D51874"/>
    <w:rsid w:val="00D52D6C"/>
    <w:rsid w:val="00D5407D"/>
    <w:rsid w:val="00D540C1"/>
    <w:rsid w:val="00D545E5"/>
    <w:rsid w:val="00D550D0"/>
    <w:rsid w:val="00D55DA9"/>
    <w:rsid w:val="00D56AA5"/>
    <w:rsid w:val="00D56B9F"/>
    <w:rsid w:val="00D56BF3"/>
    <w:rsid w:val="00D56D40"/>
    <w:rsid w:val="00D605CA"/>
    <w:rsid w:val="00D609FB"/>
    <w:rsid w:val="00D60CF2"/>
    <w:rsid w:val="00D6101D"/>
    <w:rsid w:val="00D61127"/>
    <w:rsid w:val="00D614FA"/>
    <w:rsid w:val="00D621A6"/>
    <w:rsid w:val="00D629EE"/>
    <w:rsid w:val="00D632FB"/>
    <w:rsid w:val="00D638AC"/>
    <w:rsid w:val="00D640D6"/>
    <w:rsid w:val="00D64B14"/>
    <w:rsid w:val="00D66EBE"/>
    <w:rsid w:val="00D67E4B"/>
    <w:rsid w:val="00D7067E"/>
    <w:rsid w:val="00D70AB6"/>
    <w:rsid w:val="00D72722"/>
    <w:rsid w:val="00D72982"/>
    <w:rsid w:val="00D72DC9"/>
    <w:rsid w:val="00D72FAB"/>
    <w:rsid w:val="00D73553"/>
    <w:rsid w:val="00D740DC"/>
    <w:rsid w:val="00D74648"/>
    <w:rsid w:val="00D747BC"/>
    <w:rsid w:val="00D74ED1"/>
    <w:rsid w:val="00D7545D"/>
    <w:rsid w:val="00D756F2"/>
    <w:rsid w:val="00D75945"/>
    <w:rsid w:val="00D766CF"/>
    <w:rsid w:val="00D76987"/>
    <w:rsid w:val="00D76B6C"/>
    <w:rsid w:val="00D7713C"/>
    <w:rsid w:val="00D80491"/>
    <w:rsid w:val="00D805B3"/>
    <w:rsid w:val="00D81609"/>
    <w:rsid w:val="00D817DF"/>
    <w:rsid w:val="00D8187F"/>
    <w:rsid w:val="00D81FD5"/>
    <w:rsid w:val="00D829C2"/>
    <w:rsid w:val="00D83723"/>
    <w:rsid w:val="00D844A8"/>
    <w:rsid w:val="00D84B05"/>
    <w:rsid w:val="00D85D76"/>
    <w:rsid w:val="00D864D1"/>
    <w:rsid w:val="00D86868"/>
    <w:rsid w:val="00D90B42"/>
    <w:rsid w:val="00D90B9D"/>
    <w:rsid w:val="00D90F31"/>
    <w:rsid w:val="00D91B20"/>
    <w:rsid w:val="00D92116"/>
    <w:rsid w:val="00D93091"/>
    <w:rsid w:val="00D9431E"/>
    <w:rsid w:val="00D94F5D"/>
    <w:rsid w:val="00D959FD"/>
    <w:rsid w:val="00D96655"/>
    <w:rsid w:val="00D972F7"/>
    <w:rsid w:val="00D97766"/>
    <w:rsid w:val="00DA0884"/>
    <w:rsid w:val="00DA14E3"/>
    <w:rsid w:val="00DA1885"/>
    <w:rsid w:val="00DA2632"/>
    <w:rsid w:val="00DA2857"/>
    <w:rsid w:val="00DA2DC5"/>
    <w:rsid w:val="00DA4978"/>
    <w:rsid w:val="00DA5426"/>
    <w:rsid w:val="00DA6087"/>
    <w:rsid w:val="00DA6388"/>
    <w:rsid w:val="00DA6789"/>
    <w:rsid w:val="00DA6A18"/>
    <w:rsid w:val="00DA7D61"/>
    <w:rsid w:val="00DA7F70"/>
    <w:rsid w:val="00DB017B"/>
    <w:rsid w:val="00DB0246"/>
    <w:rsid w:val="00DB0919"/>
    <w:rsid w:val="00DB0D26"/>
    <w:rsid w:val="00DB0F64"/>
    <w:rsid w:val="00DB1043"/>
    <w:rsid w:val="00DB1502"/>
    <w:rsid w:val="00DB1514"/>
    <w:rsid w:val="00DB1B77"/>
    <w:rsid w:val="00DB1D5B"/>
    <w:rsid w:val="00DB2ED7"/>
    <w:rsid w:val="00DB36EB"/>
    <w:rsid w:val="00DB3DD1"/>
    <w:rsid w:val="00DB3FB2"/>
    <w:rsid w:val="00DB423C"/>
    <w:rsid w:val="00DB4FF2"/>
    <w:rsid w:val="00DB72CE"/>
    <w:rsid w:val="00DB7A4C"/>
    <w:rsid w:val="00DB7E72"/>
    <w:rsid w:val="00DC04E6"/>
    <w:rsid w:val="00DC1F90"/>
    <w:rsid w:val="00DC2F9A"/>
    <w:rsid w:val="00DC3202"/>
    <w:rsid w:val="00DC3825"/>
    <w:rsid w:val="00DC39C7"/>
    <w:rsid w:val="00DC3E6F"/>
    <w:rsid w:val="00DC44CC"/>
    <w:rsid w:val="00DC44F3"/>
    <w:rsid w:val="00DC5E6F"/>
    <w:rsid w:val="00DC6290"/>
    <w:rsid w:val="00DC6F2F"/>
    <w:rsid w:val="00DC7185"/>
    <w:rsid w:val="00DC7556"/>
    <w:rsid w:val="00DC7AB4"/>
    <w:rsid w:val="00DC7D7F"/>
    <w:rsid w:val="00DD0D13"/>
    <w:rsid w:val="00DD0E6E"/>
    <w:rsid w:val="00DD1D0B"/>
    <w:rsid w:val="00DD2ABE"/>
    <w:rsid w:val="00DD32F8"/>
    <w:rsid w:val="00DD34EE"/>
    <w:rsid w:val="00DD3E7A"/>
    <w:rsid w:val="00DD606C"/>
    <w:rsid w:val="00DD61F7"/>
    <w:rsid w:val="00DD66D5"/>
    <w:rsid w:val="00DD6F53"/>
    <w:rsid w:val="00DD7731"/>
    <w:rsid w:val="00DD7857"/>
    <w:rsid w:val="00DD7E5C"/>
    <w:rsid w:val="00DE023C"/>
    <w:rsid w:val="00DE05D9"/>
    <w:rsid w:val="00DE092B"/>
    <w:rsid w:val="00DE0947"/>
    <w:rsid w:val="00DE0C63"/>
    <w:rsid w:val="00DE195B"/>
    <w:rsid w:val="00DE1AFB"/>
    <w:rsid w:val="00DE1E38"/>
    <w:rsid w:val="00DE4983"/>
    <w:rsid w:val="00DE4B67"/>
    <w:rsid w:val="00DE4F1A"/>
    <w:rsid w:val="00DE5226"/>
    <w:rsid w:val="00DE53DC"/>
    <w:rsid w:val="00DE5975"/>
    <w:rsid w:val="00DE5C6E"/>
    <w:rsid w:val="00DE6567"/>
    <w:rsid w:val="00DE755B"/>
    <w:rsid w:val="00DF0A76"/>
    <w:rsid w:val="00DF13BE"/>
    <w:rsid w:val="00DF25BE"/>
    <w:rsid w:val="00DF2BF9"/>
    <w:rsid w:val="00DF37D1"/>
    <w:rsid w:val="00DF3E4D"/>
    <w:rsid w:val="00DF5A53"/>
    <w:rsid w:val="00DF6580"/>
    <w:rsid w:val="00DF76F7"/>
    <w:rsid w:val="00DF78DB"/>
    <w:rsid w:val="00E01727"/>
    <w:rsid w:val="00E0245D"/>
    <w:rsid w:val="00E02FC4"/>
    <w:rsid w:val="00E03384"/>
    <w:rsid w:val="00E04912"/>
    <w:rsid w:val="00E04B60"/>
    <w:rsid w:val="00E057E0"/>
    <w:rsid w:val="00E059FB"/>
    <w:rsid w:val="00E05ABB"/>
    <w:rsid w:val="00E1027E"/>
    <w:rsid w:val="00E107A3"/>
    <w:rsid w:val="00E10DD6"/>
    <w:rsid w:val="00E11B8F"/>
    <w:rsid w:val="00E11CBE"/>
    <w:rsid w:val="00E12419"/>
    <w:rsid w:val="00E126E0"/>
    <w:rsid w:val="00E13264"/>
    <w:rsid w:val="00E136E6"/>
    <w:rsid w:val="00E141C6"/>
    <w:rsid w:val="00E142EA"/>
    <w:rsid w:val="00E14397"/>
    <w:rsid w:val="00E14816"/>
    <w:rsid w:val="00E14E1A"/>
    <w:rsid w:val="00E15C96"/>
    <w:rsid w:val="00E15D16"/>
    <w:rsid w:val="00E1728C"/>
    <w:rsid w:val="00E1797D"/>
    <w:rsid w:val="00E207A4"/>
    <w:rsid w:val="00E2164A"/>
    <w:rsid w:val="00E21F35"/>
    <w:rsid w:val="00E23A9E"/>
    <w:rsid w:val="00E23E13"/>
    <w:rsid w:val="00E23E67"/>
    <w:rsid w:val="00E240C6"/>
    <w:rsid w:val="00E2461C"/>
    <w:rsid w:val="00E246B9"/>
    <w:rsid w:val="00E249FC"/>
    <w:rsid w:val="00E24B5F"/>
    <w:rsid w:val="00E25044"/>
    <w:rsid w:val="00E25594"/>
    <w:rsid w:val="00E26247"/>
    <w:rsid w:val="00E26595"/>
    <w:rsid w:val="00E27E1B"/>
    <w:rsid w:val="00E31366"/>
    <w:rsid w:val="00E31AE4"/>
    <w:rsid w:val="00E322A1"/>
    <w:rsid w:val="00E35DA5"/>
    <w:rsid w:val="00E36021"/>
    <w:rsid w:val="00E3656C"/>
    <w:rsid w:val="00E36AF0"/>
    <w:rsid w:val="00E37F83"/>
    <w:rsid w:val="00E40192"/>
    <w:rsid w:val="00E4032E"/>
    <w:rsid w:val="00E41542"/>
    <w:rsid w:val="00E415A4"/>
    <w:rsid w:val="00E41625"/>
    <w:rsid w:val="00E41CAC"/>
    <w:rsid w:val="00E4244D"/>
    <w:rsid w:val="00E446BE"/>
    <w:rsid w:val="00E44B25"/>
    <w:rsid w:val="00E45C91"/>
    <w:rsid w:val="00E45CFD"/>
    <w:rsid w:val="00E46132"/>
    <w:rsid w:val="00E46589"/>
    <w:rsid w:val="00E46914"/>
    <w:rsid w:val="00E46EE2"/>
    <w:rsid w:val="00E50243"/>
    <w:rsid w:val="00E50294"/>
    <w:rsid w:val="00E5094E"/>
    <w:rsid w:val="00E50AB2"/>
    <w:rsid w:val="00E50C71"/>
    <w:rsid w:val="00E51092"/>
    <w:rsid w:val="00E5112B"/>
    <w:rsid w:val="00E51D18"/>
    <w:rsid w:val="00E52082"/>
    <w:rsid w:val="00E52289"/>
    <w:rsid w:val="00E5289D"/>
    <w:rsid w:val="00E52B57"/>
    <w:rsid w:val="00E52DB5"/>
    <w:rsid w:val="00E54170"/>
    <w:rsid w:val="00E54612"/>
    <w:rsid w:val="00E547F4"/>
    <w:rsid w:val="00E549F0"/>
    <w:rsid w:val="00E55F27"/>
    <w:rsid w:val="00E56648"/>
    <w:rsid w:val="00E56804"/>
    <w:rsid w:val="00E5744C"/>
    <w:rsid w:val="00E57964"/>
    <w:rsid w:val="00E605D2"/>
    <w:rsid w:val="00E61B41"/>
    <w:rsid w:val="00E61E5D"/>
    <w:rsid w:val="00E6225E"/>
    <w:rsid w:val="00E6442F"/>
    <w:rsid w:val="00E64648"/>
    <w:rsid w:val="00E668A3"/>
    <w:rsid w:val="00E66B89"/>
    <w:rsid w:val="00E66CD7"/>
    <w:rsid w:val="00E674D6"/>
    <w:rsid w:val="00E67C64"/>
    <w:rsid w:val="00E706A5"/>
    <w:rsid w:val="00E71A61"/>
    <w:rsid w:val="00E72FA6"/>
    <w:rsid w:val="00E737F8"/>
    <w:rsid w:val="00E7485F"/>
    <w:rsid w:val="00E7522B"/>
    <w:rsid w:val="00E759E6"/>
    <w:rsid w:val="00E76048"/>
    <w:rsid w:val="00E76588"/>
    <w:rsid w:val="00E772DE"/>
    <w:rsid w:val="00E77334"/>
    <w:rsid w:val="00E775D6"/>
    <w:rsid w:val="00E807A5"/>
    <w:rsid w:val="00E8084E"/>
    <w:rsid w:val="00E80B30"/>
    <w:rsid w:val="00E80C2A"/>
    <w:rsid w:val="00E82062"/>
    <w:rsid w:val="00E83C03"/>
    <w:rsid w:val="00E85468"/>
    <w:rsid w:val="00E8748B"/>
    <w:rsid w:val="00E87C9C"/>
    <w:rsid w:val="00E9022B"/>
    <w:rsid w:val="00E90525"/>
    <w:rsid w:val="00E90672"/>
    <w:rsid w:val="00E91107"/>
    <w:rsid w:val="00E91638"/>
    <w:rsid w:val="00E922F6"/>
    <w:rsid w:val="00E924D4"/>
    <w:rsid w:val="00E92BC6"/>
    <w:rsid w:val="00E92CCF"/>
    <w:rsid w:val="00E932D3"/>
    <w:rsid w:val="00E9347C"/>
    <w:rsid w:val="00E9457E"/>
    <w:rsid w:val="00E95191"/>
    <w:rsid w:val="00E956AB"/>
    <w:rsid w:val="00E96CAB"/>
    <w:rsid w:val="00E96E9B"/>
    <w:rsid w:val="00E97492"/>
    <w:rsid w:val="00EA0EE3"/>
    <w:rsid w:val="00EA0F80"/>
    <w:rsid w:val="00EA3B1C"/>
    <w:rsid w:val="00EA499F"/>
    <w:rsid w:val="00EA6B69"/>
    <w:rsid w:val="00EB1476"/>
    <w:rsid w:val="00EB1479"/>
    <w:rsid w:val="00EB16FF"/>
    <w:rsid w:val="00EB2A07"/>
    <w:rsid w:val="00EB4FAC"/>
    <w:rsid w:val="00EB51D1"/>
    <w:rsid w:val="00EB54D4"/>
    <w:rsid w:val="00EB7552"/>
    <w:rsid w:val="00EB7899"/>
    <w:rsid w:val="00EC05DA"/>
    <w:rsid w:val="00EC06F9"/>
    <w:rsid w:val="00EC0CB8"/>
    <w:rsid w:val="00EC0D6C"/>
    <w:rsid w:val="00EC1452"/>
    <w:rsid w:val="00EC1787"/>
    <w:rsid w:val="00EC195D"/>
    <w:rsid w:val="00EC29A3"/>
    <w:rsid w:val="00EC2C2E"/>
    <w:rsid w:val="00EC3537"/>
    <w:rsid w:val="00EC3713"/>
    <w:rsid w:val="00EC3D0C"/>
    <w:rsid w:val="00EC4C19"/>
    <w:rsid w:val="00EC5371"/>
    <w:rsid w:val="00EC61CA"/>
    <w:rsid w:val="00EC6334"/>
    <w:rsid w:val="00EC747F"/>
    <w:rsid w:val="00EC7CD7"/>
    <w:rsid w:val="00ED0FFE"/>
    <w:rsid w:val="00ED151D"/>
    <w:rsid w:val="00ED1AAB"/>
    <w:rsid w:val="00ED1BB6"/>
    <w:rsid w:val="00ED2586"/>
    <w:rsid w:val="00ED327A"/>
    <w:rsid w:val="00ED3694"/>
    <w:rsid w:val="00ED375E"/>
    <w:rsid w:val="00ED377A"/>
    <w:rsid w:val="00ED38C4"/>
    <w:rsid w:val="00ED4498"/>
    <w:rsid w:val="00ED4D12"/>
    <w:rsid w:val="00ED54A4"/>
    <w:rsid w:val="00ED571C"/>
    <w:rsid w:val="00ED652E"/>
    <w:rsid w:val="00ED6B44"/>
    <w:rsid w:val="00ED75DF"/>
    <w:rsid w:val="00EE0136"/>
    <w:rsid w:val="00EE0A08"/>
    <w:rsid w:val="00EE15CD"/>
    <w:rsid w:val="00EE1A8E"/>
    <w:rsid w:val="00EE2933"/>
    <w:rsid w:val="00EE5535"/>
    <w:rsid w:val="00EE76C9"/>
    <w:rsid w:val="00EF0D2C"/>
    <w:rsid w:val="00EF23D4"/>
    <w:rsid w:val="00EF37BB"/>
    <w:rsid w:val="00EF3DD7"/>
    <w:rsid w:val="00EF49A8"/>
    <w:rsid w:val="00EF58C8"/>
    <w:rsid w:val="00EF60CE"/>
    <w:rsid w:val="00EF60F8"/>
    <w:rsid w:val="00EF69B1"/>
    <w:rsid w:val="00EF7772"/>
    <w:rsid w:val="00F0094B"/>
    <w:rsid w:val="00F014CE"/>
    <w:rsid w:val="00F056EC"/>
    <w:rsid w:val="00F05718"/>
    <w:rsid w:val="00F05809"/>
    <w:rsid w:val="00F05FA8"/>
    <w:rsid w:val="00F0654F"/>
    <w:rsid w:val="00F0680C"/>
    <w:rsid w:val="00F06C7F"/>
    <w:rsid w:val="00F0798D"/>
    <w:rsid w:val="00F07C62"/>
    <w:rsid w:val="00F10901"/>
    <w:rsid w:val="00F10FCE"/>
    <w:rsid w:val="00F12D6B"/>
    <w:rsid w:val="00F12D9B"/>
    <w:rsid w:val="00F13754"/>
    <w:rsid w:val="00F13969"/>
    <w:rsid w:val="00F14A1F"/>
    <w:rsid w:val="00F14A92"/>
    <w:rsid w:val="00F14FAB"/>
    <w:rsid w:val="00F15090"/>
    <w:rsid w:val="00F176B9"/>
    <w:rsid w:val="00F17848"/>
    <w:rsid w:val="00F20D65"/>
    <w:rsid w:val="00F213AE"/>
    <w:rsid w:val="00F221BC"/>
    <w:rsid w:val="00F22414"/>
    <w:rsid w:val="00F22F79"/>
    <w:rsid w:val="00F23958"/>
    <w:rsid w:val="00F23CF4"/>
    <w:rsid w:val="00F24A2B"/>
    <w:rsid w:val="00F25679"/>
    <w:rsid w:val="00F258FA"/>
    <w:rsid w:val="00F25F13"/>
    <w:rsid w:val="00F25FCE"/>
    <w:rsid w:val="00F26124"/>
    <w:rsid w:val="00F3193E"/>
    <w:rsid w:val="00F31A79"/>
    <w:rsid w:val="00F31BCD"/>
    <w:rsid w:val="00F335C1"/>
    <w:rsid w:val="00F340F8"/>
    <w:rsid w:val="00F34B28"/>
    <w:rsid w:val="00F34E6F"/>
    <w:rsid w:val="00F35889"/>
    <w:rsid w:val="00F36208"/>
    <w:rsid w:val="00F36886"/>
    <w:rsid w:val="00F36E3C"/>
    <w:rsid w:val="00F36FA6"/>
    <w:rsid w:val="00F3705D"/>
    <w:rsid w:val="00F371BA"/>
    <w:rsid w:val="00F3729C"/>
    <w:rsid w:val="00F403D1"/>
    <w:rsid w:val="00F40C7F"/>
    <w:rsid w:val="00F41273"/>
    <w:rsid w:val="00F415CF"/>
    <w:rsid w:val="00F41E76"/>
    <w:rsid w:val="00F4309A"/>
    <w:rsid w:val="00F43EE3"/>
    <w:rsid w:val="00F43FD9"/>
    <w:rsid w:val="00F4517F"/>
    <w:rsid w:val="00F45D2C"/>
    <w:rsid w:val="00F46B57"/>
    <w:rsid w:val="00F46FE1"/>
    <w:rsid w:val="00F47ADE"/>
    <w:rsid w:val="00F47CFF"/>
    <w:rsid w:val="00F51614"/>
    <w:rsid w:val="00F51F1B"/>
    <w:rsid w:val="00F524D6"/>
    <w:rsid w:val="00F52518"/>
    <w:rsid w:val="00F52805"/>
    <w:rsid w:val="00F52B84"/>
    <w:rsid w:val="00F52C54"/>
    <w:rsid w:val="00F533B5"/>
    <w:rsid w:val="00F559AC"/>
    <w:rsid w:val="00F56BBE"/>
    <w:rsid w:val="00F572E5"/>
    <w:rsid w:val="00F60A14"/>
    <w:rsid w:val="00F61708"/>
    <w:rsid w:val="00F617AA"/>
    <w:rsid w:val="00F6440D"/>
    <w:rsid w:val="00F64D88"/>
    <w:rsid w:val="00F66D2F"/>
    <w:rsid w:val="00F66DFD"/>
    <w:rsid w:val="00F67F65"/>
    <w:rsid w:val="00F700AE"/>
    <w:rsid w:val="00F70345"/>
    <w:rsid w:val="00F7081D"/>
    <w:rsid w:val="00F709AA"/>
    <w:rsid w:val="00F71DC2"/>
    <w:rsid w:val="00F71F0F"/>
    <w:rsid w:val="00F7238B"/>
    <w:rsid w:val="00F72B19"/>
    <w:rsid w:val="00F72B4D"/>
    <w:rsid w:val="00F72EAB"/>
    <w:rsid w:val="00F738AD"/>
    <w:rsid w:val="00F738EA"/>
    <w:rsid w:val="00F742B8"/>
    <w:rsid w:val="00F745D2"/>
    <w:rsid w:val="00F7629E"/>
    <w:rsid w:val="00F76622"/>
    <w:rsid w:val="00F805E0"/>
    <w:rsid w:val="00F81C9E"/>
    <w:rsid w:val="00F826C3"/>
    <w:rsid w:val="00F831C3"/>
    <w:rsid w:val="00F832ED"/>
    <w:rsid w:val="00F8591D"/>
    <w:rsid w:val="00F8652A"/>
    <w:rsid w:val="00F86781"/>
    <w:rsid w:val="00F86B73"/>
    <w:rsid w:val="00F8703C"/>
    <w:rsid w:val="00F8718B"/>
    <w:rsid w:val="00F874AE"/>
    <w:rsid w:val="00F87669"/>
    <w:rsid w:val="00F87E99"/>
    <w:rsid w:val="00F87EDF"/>
    <w:rsid w:val="00F90707"/>
    <w:rsid w:val="00F91565"/>
    <w:rsid w:val="00F91B05"/>
    <w:rsid w:val="00F929A7"/>
    <w:rsid w:val="00F937E7"/>
    <w:rsid w:val="00F938EE"/>
    <w:rsid w:val="00F93E0B"/>
    <w:rsid w:val="00F94060"/>
    <w:rsid w:val="00F949F6"/>
    <w:rsid w:val="00F94D97"/>
    <w:rsid w:val="00F95BEC"/>
    <w:rsid w:val="00F96DD4"/>
    <w:rsid w:val="00F97085"/>
    <w:rsid w:val="00F97792"/>
    <w:rsid w:val="00FA1B17"/>
    <w:rsid w:val="00FA26E1"/>
    <w:rsid w:val="00FA2ED8"/>
    <w:rsid w:val="00FA53CD"/>
    <w:rsid w:val="00FA5F9F"/>
    <w:rsid w:val="00FA6D05"/>
    <w:rsid w:val="00FB09C1"/>
    <w:rsid w:val="00FB1083"/>
    <w:rsid w:val="00FB13EF"/>
    <w:rsid w:val="00FB2CFC"/>
    <w:rsid w:val="00FB3124"/>
    <w:rsid w:val="00FB3795"/>
    <w:rsid w:val="00FB40E4"/>
    <w:rsid w:val="00FB52A1"/>
    <w:rsid w:val="00FB5468"/>
    <w:rsid w:val="00FB5484"/>
    <w:rsid w:val="00FB5874"/>
    <w:rsid w:val="00FB5E6A"/>
    <w:rsid w:val="00FB6269"/>
    <w:rsid w:val="00FB644D"/>
    <w:rsid w:val="00FB66F1"/>
    <w:rsid w:val="00FB71B9"/>
    <w:rsid w:val="00FB731E"/>
    <w:rsid w:val="00FC02A7"/>
    <w:rsid w:val="00FC0688"/>
    <w:rsid w:val="00FC206D"/>
    <w:rsid w:val="00FC2415"/>
    <w:rsid w:val="00FC31B9"/>
    <w:rsid w:val="00FC37EF"/>
    <w:rsid w:val="00FC3983"/>
    <w:rsid w:val="00FC5686"/>
    <w:rsid w:val="00FC57AB"/>
    <w:rsid w:val="00FC5FCC"/>
    <w:rsid w:val="00FC6BFE"/>
    <w:rsid w:val="00FC6E6D"/>
    <w:rsid w:val="00FC73C1"/>
    <w:rsid w:val="00FC7BC8"/>
    <w:rsid w:val="00FD0FCD"/>
    <w:rsid w:val="00FD1874"/>
    <w:rsid w:val="00FD2550"/>
    <w:rsid w:val="00FD2EDF"/>
    <w:rsid w:val="00FD2F4C"/>
    <w:rsid w:val="00FD3173"/>
    <w:rsid w:val="00FD3E9F"/>
    <w:rsid w:val="00FD4494"/>
    <w:rsid w:val="00FD48F3"/>
    <w:rsid w:val="00FD4D2A"/>
    <w:rsid w:val="00FD54AE"/>
    <w:rsid w:val="00FD7276"/>
    <w:rsid w:val="00FD7FD7"/>
    <w:rsid w:val="00FE067C"/>
    <w:rsid w:val="00FE1222"/>
    <w:rsid w:val="00FE1567"/>
    <w:rsid w:val="00FE2664"/>
    <w:rsid w:val="00FE2B21"/>
    <w:rsid w:val="00FE4408"/>
    <w:rsid w:val="00FE4A8C"/>
    <w:rsid w:val="00FE4AC9"/>
    <w:rsid w:val="00FE4E8F"/>
    <w:rsid w:val="00FE5909"/>
    <w:rsid w:val="00FE64DD"/>
    <w:rsid w:val="00FE65BA"/>
    <w:rsid w:val="00FE7437"/>
    <w:rsid w:val="00FE7B12"/>
    <w:rsid w:val="00FE7EA6"/>
    <w:rsid w:val="00FF1291"/>
    <w:rsid w:val="00FF131B"/>
    <w:rsid w:val="00FF1562"/>
    <w:rsid w:val="00FF1A3B"/>
    <w:rsid w:val="00FF1B4C"/>
    <w:rsid w:val="00FF1B87"/>
    <w:rsid w:val="00FF1E2B"/>
    <w:rsid w:val="00FF3E29"/>
    <w:rsid w:val="00FF3E4B"/>
    <w:rsid w:val="00FF4257"/>
    <w:rsid w:val="00FF61DB"/>
    <w:rsid w:val="00FF654B"/>
    <w:rsid w:val="00FF66A2"/>
    <w:rsid w:val="00FF6CD5"/>
    <w:rsid w:val="00FF7204"/>
    <w:rsid w:val="00FF726E"/>
    <w:rsid w:val="011C44BE"/>
    <w:rsid w:val="01431A4A"/>
    <w:rsid w:val="015B4FE6"/>
    <w:rsid w:val="017D66E9"/>
    <w:rsid w:val="018A58CB"/>
    <w:rsid w:val="018B00B5"/>
    <w:rsid w:val="019B57A0"/>
    <w:rsid w:val="01A06E9D"/>
    <w:rsid w:val="01A3073B"/>
    <w:rsid w:val="01A324E9"/>
    <w:rsid w:val="01D134FA"/>
    <w:rsid w:val="01D63F6D"/>
    <w:rsid w:val="01D6466C"/>
    <w:rsid w:val="01DA5A10"/>
    <w:rsid w:val="01DF58FF"/>
    <w:rsid w:val="01FA65AD"/>
    <w:rsid w:val="021533E7"/>
    <w:rsid w:val="02320EBA"/>
    <w:rsid w:val="024C0DD3"/>
    <w:rsid w:val="024D4A7D"/>
    <w:rsid w:val="027F6AB2"/>
    <w:rsid w:val="02B26E88"/>
    <w:rsid w:val="02CB7F49"/>
    <w:rsid w:val="02E146F9"/>
    <w:rsid w:val="02E334E5"/>
    <w:rsid w:val="02E80AFB"/>
    <w:rsid w:val="02E87E56"/>
    <w:rsid w:val="02E903CF"/>
    <w:rsid w:val="02ED4364"/>
    <w:rsid w:val="02F9154E"/>
    <w:rsid w:val="030671D3"/>
    <w:rsid w:val="030B2A3C"/>
    <w:rsid w:val="03103BAE"/>
    <w:rsid w:val="031F181B"/>
    <w:rsid w:val="032A4C70"/>
    <w:rsid w:val="035D5C1E"/>
    <w:rsid w:val="0361440A"/>
    <w:rsid w:val="03630182"/>
    <w:rsid w:val="0374413D"/>
    <w:rsid w:val="03920A67"/>
    <w:rsid w:val="03CF41F6"/>
    <w:rsid w:val="03D130C9"/>
    <w:rsid w:val="03D1333D"/>
    <w:rsid w:val="03DE3CAC"/>
    <w:rsid w:val="03E80687"/>
    <w:rsid w:val="03F80913"/>
    <w:rsid w:val="040A2CF3"/>
    <w:rsid w:val="041B6CAE"/>
    <w:rsid w:val="04245544"/>
    <w:rsid w:val="04446205"/>
    <w:rsid w:val="044B7594"/>
    <w:rsid w:val="044F3EF5"/>
    <w:rsid w:val="046046C1"/>
    <w:rsid w:val="04650E5C"/>
    <w:rsid w:val="046B19E4"/>
    <w:rsid w:val="04820ADC"/>
    <w:rsid w:val="04BA2023"/>
    <w:rsid w:val="04DC52CD"/>
    <w:rsid w:val="04E42BB1"/>
    <w:rsid w:val="04F4568F"/>
    <w:rsid w:val="04F75026"/>
    <w:rsid w:val="04FA2D68"/>
    <w:rsid w:val="04FA4B16"/>
    <w:rsid w:val="04FC3176"/>
    <w:rsid w:val="050B6D23"/>
    <w:rsid w:val="05177476"/>
    <w:rsid w:val="05221913"/>
    <w:rsid w:val="053C512E"/>
    <w:rsid w:val="053F077B"/>
    <w:rsid w:val="05820D5B"/>
    <w:rsid w:val="05BE78F1"/>
    <w:rsid w:val="05C018BB"/>
    <w:rsid w:val="05C25634"/>
    <w:rsid w:val="05CD3EB3"/>
    <w:rsid w:val="05D45367"/>
    <w:rsid w:val="05E27A84"/>
    <w:rsid w:val="05E30006"/>
    <w:rsid w:val="05E530D0"/>
    <w:rsid w:val="060866BA"/>
    <w:rsid w:val="061E22CB"/>
    <w:rsid w:val="06205A83"/>
    <w:rsid w:val="06284D83"/>
    <w:rsid w:val="06585F98"/>
    <w:rsid w:val="065C36FD"/>
    <w:rsid w:val="066761DB"/>
    <w:rsid w:val="06725B16"/>
    <w:rsid w:val="067B2987"/>
    <w:rsid w:val="068154EF"/>
    <w:rsid w:val="06872D56"/>
    <w:rsid w:val="06913258"/>
    <w:rsid w:val="06963510"/>
    <w:rsid w:val="069F7723"/>
    <w:rsid w:val="06A07873"/>
    <w:rsid w:val="06AA444A"/>
    <w:rsid w:val="06C254FC"/>
    <w:rsid w:val="06D66EBD"/>
    <w:rsid w:val="06E46DD6"/>
    <w:rsid w:val="06F2019A"/>
    <w:rsid w:val="06FD5623"/>
    <w:rsid w:val="07043A2A"/>
    <w:rsid w:val="071F1BF8"/>
    <w:rsid w:val="07320597"/>
    <w:rsid w:val="074402CA"/>
    <w:rsid w:val="07484826"/>
    <w:rsid w:val="074B228B"/>
    <w:rsid w:val="07504EC1"/>
    <w:rsid w:val="07533B82"/>
    <w:rsid w:val="07603356"/>
    <w:rsid w:val="076A5F83"/>
    <w:rsid w:val="077F1CF5"/>
    <w:rsid w:val="07B40FAC"/>
    <w:rsid w:val="07CC09EB"/>
    <w:rsid w:val="07D478A0"/>
    <w:rsid w:val="0802440D"/>
    <w:rsid w:val="081D2FF5"/>
    <w:rsid w:val="081E1A47"/>
    <w:rsid w:val="0822151D"/>
    <w:rsid w:val="0846765B"/>
    <w:rsid w:val="08626C5A"/>
    <w:rsid w:val="088210AA"/>
    <w:rsid w:val="08892439"/>
    <w:rsid w:val="088C017B"/>
    <w:rsid w:val="088E3EF3"/>
    <w:rsid w:val="08935065"/>
    <w:rsid w:val="08A90DDE"/>
    <w:rsid w:val="08B6248C"/>
    <w:rsid w:val="08C0550B"/>
    <w:rsid w:val="08E27D9B"/>
    <w:rsid w:val="08E41D65"/>
    <w:rsid w:val="08ED6E6B"/>
    <w:rsid w:val="08FC70AE"/>
    <w:rsid w:val="08FF6B9F"/>
    <w:rsid w:val="090002DA"/>
    <w:rsid w:val="090827CD"/>
    <w:rsid w:val="09095327"/>
    <w:rsid w:val="09246605"/>
    <w:rsid w:val="092C7268"/>
    <w:rsid w:val="094B5940"/>
    <w:rsid w:val="09540C99"/>
    <w:rsid w:val="09615163"/>
    <w:rsid w:val="09641372"/>
    <w:rsid w:val="09736C45"/>
    <w:rsid w:val="09774987"/>
    <w:rsid w:val="099C4AB2"/>
    <w:rsid w:val="09B96D4E"/>
    <w:rsid w:val="09CA0F5B"/>
    <w:rsid w:val="09D74EF0"/>
    <w:rsid w:val="09E3201C"/>
    <w:rsid w:val="09FD1E6C"/>
    <w:rsid w:val="0A014251"/>
    <w:rsid w:val="0A0B50CF"/>
    <w:rsid w:val="0A0E1031"/>
    <w:rsid w:val="0A0F2E11"/>
    <w:rsid w:val="0A0F696E"/>
    <w:rsid w:val="0A682522"/>
    <w:rsid w:val="0A683ED4"/>
    <w:rsid w:val="0A6848D8"/>
    <w:rsid w:val="0A6F565E"/>
    <w:rsid w:val="0A742C74"/>
    <w:rsid w:val="0A79472F"/>
    <w:rsid w:val="0A7C5EE5"/>
    <w:rsid w:val="0AA277E2"/>
    <w:rsid w:val="0ABD286D"/>
    <w:rsid w:val="0AC41E4E"/>
    <w:rsid w:val="0AD100C7"/>
    <w:rsid w:val="0ADD6A6C"/>
    <w:rsid w:val="0AF03373"/>
    <w:rsid w:val="0B057D70"/>
    <w:rsid w:val="0BAF665A"/>
    <w:rsid w:val="0BB63CDC"/>
    <w:rsid w:val="0BCB2C22"/>
    <w:rsid w:val="0BEB340A"/>
    <w:rsid w:val="0BED2CDE"/>
    <w:rsid w:val="0C1A784C"/>
    <w:rsid w:val="0C1B09F4"/>
    <w:rsid w:val="0C1D11D3"/>
    <w:rsid w:val="0C405504"/>
    <w:rsid w:val="0C60563C"/>
    <w:rsid w:val="0C686809"/>
    <w:rsid w:val="0C6D2071"/>
    <w:rsid w:val="0C6F4365"/>
    <w:rsid w:val="0C7117A3"/>
    <w:rsid w:val="0C7B02EA"/>
    <w:rsid w:val="0C923886"/>
    <w:rsid w:val="0C965124"/>
    <w:rsid w:val="0CD05FD2"/>
    <w:rsid w:val="0CF01B55"/>
    <w:rsid w:val="0CF647D3"/>
    <w:rsid w:val="0D0A78C0"/>
    <w:rsid w:val="0D0C188A"/>
    <w:rsid w:val="0D1129FD"/>
    <w:rsid w:val="0D132C19"/>
    <w:rsid w:val="0D305579"/>
    <w:rsid w:val="0D3333DE"/>
    <w:rsid w:val="0D4252AC"/>
    <w:rsid w:val="0D4947F0"/>
    <w:rsid w:val="0D613984"/>
    <w:rsid w:val="0D6C574D"/>
    <w:rsid w:val="0D6E7004"/>
    <w:rsid w:val="0D883FB7"/>
    <w:rsid w:val="0D8B0A01"/>
    <w:rsid w:val="0D9C0DDF"/>
    <w:rsid w:val="0DD52EAB"/>
    <w:rsid w:val="0DE56FDE"/>
    <w:rsid w:val="0DEF6259"/>
    <w:rsid w:val="0DF447F8"/>
    <w:rsid w:val="0DF90060"/>
    <w:rsid w:val="0E053C19"/>
    <w:rsid w:val="0E0D58BA"/>
    <w:rsid w:val="0E285928"/>
    <w:rsid w:val="0E2A1FC8"/>
    <w:rsid w:val="0E2D7D0A"/>
    <w:rsid w:val="0E552DBD"/>
    <w:rsid w:val="0E7A3CC9"/>
    <w:rsid w:val="0E976843"/>
    <w:rsid w:val="0EA578A0"/>
    <w:rsid w:val="0EA83079"/>
    <w:rsid w:val="0EB35806"/>
    <w:rsid w:val="0EBD2E3C"/>
    <w:rsid w:val="0F1A1917"/>
    <w:rsid w:val="0F203F97"/>
    <w:rsid w:val="0F3330FE"/>
    <w:rsid w:val="0F3B6457"/>
    <w:rsid w:val="0F3F2223"/>
    <w:rsid w:val="0F40581B"/>
    <w:rsid w:val="0F4075C9"/>
    <w:rsid w:val="0F515C7A"/>
    <w:rsid w:val="0F517A28"/>
    <w:rsid w:val="0F535F76"/>
    <w:rsid w:val="0F5A0DB5"/>
    <w:rsid w:val="0F60421F"/>
    <w:rsid w:val="0F6B6D3C"/>
    <w:rsid w:val="0F7F661A"/>
    <w:rsid w:val="0F8F4956"/>
    <w:rsid w:val="0F9221C8"/>
    <w:rsid w:val="0F9F0794"/>
    <w:rsid w:val="0FA31024"/>
    <w:rsid w:val="0FA76FC4"/>
    <w:rsid w:val="0FBD6E6C"/>
    <w:rsid w:val="0FDE19F7"/>
    <w:rsid w:val="0FEB5AF2"/>
    <w:rsid w:val="0FF46D31"/>
    <w:rsid w:val="10044A9B"/>
    <w:rsid w:val="1019169C"/>
    <w:rsid w:val="101A42BE"/>
    <w:rsid w:val="101C0036"/>
    <w:rsid w:val="102D02A1"/>
    <w:rsid w:val="102D3FF1"/>
    <w:rsid w:val="102E38C6"/>
    <w:rsid w:val="103E1D5B"/>
    <w:rsid w:val="10675755"/>
    <w:rsid w:val="1077526D"/>
    <w:rsid w:val="108160EB"/>
    <w:rsid w:val="10981B44"/>
    <w:rsid w:val="109E740F"/>
    <w:rsid w:val="10AB4F16"/>
    <w:rsid w:val="10AC760C"/>
    <w:rsid w:val="10BB784F"/>
    <w:rsid w:val="10C83D1A"/>
    <w:rsid w:val="10CD30DE"/>
    <w:rsid w:val="10DD77C5"/>
    <w:rsid w:val="10E723F2"/>
    <w:rsid w:val="10EC0872"/>
    <w:rsid w:val="111451B1"/>
    <w:rsid w:val="11423ACC"/>
    <w:rsid w:val="1144495B"/>
    <w:rsid w:val="11515ABE"/>
    <w:rsid w:val="115F45E5"/>
    <w:rsid w:val="115F7210"/>
    <w:rsid w:val="116E48C1"/>
    <w:rsid w:val="116F4196"/>
    <w:rsid w:val="117B6FDE"/>
    <w:rsid w:val="1182360D"/>
    <w:rsid w:val="119500A0"/>
    <w:rsid w:val="11D34725"/>
    <w:rsid w:val="11D566EF"/>
    <w:rsid w:val="11D861DF"/>
    <w:rsid w:val="12107F7D"/>
    <w:rsid w:val="12266F4A"/>
    <w:rsid w:val="125F51BD"/>
    <w:rsid w:val="1266498D"/>
    <w:rsid w:val="126B2BAF"/>
    <w:rsid w:val="126D1954"/>
    <w:rsid w:val="12744159"/>
    <w:rsid w:val="127A1044"/>
    <w:rsid w:val="12A146D5"/>
    <w:rsid w:val="12A85BB1"/>
    <w:rsid w:val="12B10F0A"/>
    <w:rsid w:val="12C50511"/>
    <w:rsid w:val="12E360E4"/>
    <w:rsid w:val="12E60488"/>
    <w:rsid w:val="12E6116C"/>
    <w:rsid w:val="12E62106"/>
    <w:rsid w:val="12F901BB"/>
    <w:rsid w:val="13182D37"/>
    <w:rsid w:val="13196AAF"/>
    <w:rsid w:val="13373653"/>
    <w:rsid w:val="133D454B"/>
    <w:rsid w:val="133E2072"/>
    <w:rsid w:val="135950FD"/>
    <w:rsid w:val="13616DDA"/>
    <w:rsid w:val="137B32C6"/>
    <w:rsid w:val="13826402"/>
    <w:rsid w:val="13916645"/>
    <w:rsid w:val="13A46928"/>
    <w:rsid w:val="13AC7923"/>
    <w:rsid w:val="13D5487D"/>
    <w:rsid w:val="13F57B76"/>
    <w:rsid w:val="13FA36DC"/>
    <w:rsid w:val="13FC764C"/>
    <w:rsid w:val="141259D8"/>
    <w:rsid w:val="1419582F"/>
    <w:rsid w:val="141C1100"/>
    <w:rsid w:val="143F0797"/>
    <w:rsid w:val="1441006B"/>
    <w:rsid w:val="144C06BE"/>
    <w:rsid w:val="144C111C"/>
    <w:rsid w:val="14531B4D"/>
    <w:rsid w:val="145F4995"/>
    <w:rsid w:val="14641FAC"/>
    <w:rsid w:val="14697BE6"/>
    <w:rsid w:val="147742FE"/>
    <w:rsid w:val="149F4D92"/>
    <w:rsid w:val="14A56265"/>
    <w:rsid w:val="14DB7F08"/>
    <w:rsid w:val="14E62BE7"/>
    <w:rsid w:val="1517701E"/>
    <w:rsid w:val="15200D24"/>
    <w:rsid w:val="15221996"/>
    <w:rsid w:val="153D4CD7"/>
    <w:rsid w:val="154E707F"/>
    <w:rsid w:val="155913E5"/>
    <w:rsid w:val="155E4C4D"/>
    <w:rsid w:val="15610299"/>
    <w:rsid w:val="15915022"/>
    <w:rsid w:val="159D7523"/>
    <w:rsid w:val="15D56295"/>
    <w:rsid w:val="15D867AD"/>
    <w:rsid w:val="160457D1"/>
    <w:rsid w:val="160752E5"/>
    <w:rsid w:val="16090FBE"/>
    <w:rsid w:val="161D1CE9"/>
    <w:rsid w:val="161E0A1B"/>
    <w:rsid w:val="163A2FC4"/>
    <w:rsid w:val="163D5AC4"/>
    <w:rsid w:val="1647748F"/>
    <w:rsid w:val="164E6403"/>
    <w:rsid w:val="166D15EC"/>
    <w:rsid w:val="16734728"/>
    <w:rsid w:val="167C35DD"/>
    <w:rsid w:val="16866209"/>
    <w:rsid w:val="16930926"/>
    <w:rsid w:val="169C3C7F"/>
    <w:rsid w:val="16A9014A"/>
    <w:rsid w:val="16B502FA"/>
    <w:rsid w:val="16BF171B"/>
    <w:rsid w:val="16C40A4A"/>
    <w:rsid w:val="16E86EC4"/>
    <w:rsid w:val="16F77107"/>
    <w:rsid w:val="1703785A"/>
    <w:rsid w:val="17117C38"/>
    <w:rsid w:val="17143815"/>
    <w:rsid w:val="17285513"/>
    <w:rsid w:val="17521DA9"/>
    <w:rsid w:val="17571954"/>
    <w:rsid w:val="179D539B"/>
    <w:rsid w:val="17A133F8"/>
    <w:rsid w:val="17A56B63"/>
    <w:rsid w:val="17C224C7"/>
    <w:rsid w:val="17DE54CF"/>
    <w:rsid w:val="17E31439"/>
    <w:rsid w:val="17E4768B"/>
    <w:rsid w:val="17E916AD"/>
    <w:rsid w:val="17F81389"/>
    <w:rsid w:val="17FD65D0"/>
    <w:rsid w:val="18025D64"/>
    <w:rsid w:val="180715CC"/>
    <w:rsid w:val="180A2E6A"/>
    <w:rsid w:val="181F6915"/>
    <w:rsid w:val="1824217E"/>
    <w:rsid w:val="182C1032"/>
    <w:rsid w:val="18441ED8"/>
    <w:rsid w:val="184B74E5"/>
    <w:rsid w:val="18664544"/>
    <w:rsid w:val="186F0527"/>
    <w:rsid w:val="18730853"/>
    <w:rsid w:val="188F6EFF"/>
    <w:rsid w:val="189D783A"/>
    <w:rsid w:val="18A346C2"/>
    <w:rsid w:val="18C7379E"/>
    <w:rsid w:val="18C748B7"/>
    <w:rsid w:val="18D771F0"/>
    <w:rsid w:val="18DA6CE0"/>
    <w:rsid w:val="1906577D"/>
    <w:rsid w:val="1912647A"/>
    <w:rsid w:val="19263CD4"/>
    <w:rsid w:val="19290506"/>
    <w:rsid w:val="192B12EA"/>
    <w:rsid w:val="192B33CB"/>
    <w:rsid w:val="1946272E"/>
    <w:rsid w:val="195F08E7"/>
    <w:rsid w:val="195F2D42"/>
    <w:rsid w:val="196333D9"/>
    <w:rsid w:val="196C5B8A"/>
    <w:rsid w:val="19742C91"/>
    <w:rsid w:val="19792055"/>
    <w:rsid w:val="197E141A"/>
    <w:rsid w:val="198858CE"/>
    <w:rsid w:val="198D1C77"/>
    <w:rsid w:val="19910D4F"/>
    <w:rsid w:val="199702F5"/>
    <w:rsid w:val="19A215AC"/>
    <w:rsid w:val="19B659E9"/>
    <w:rsid w:val="19CA28B1"/>
    <w:rsid w:val="19CC166E"/>
    <w:rsid w:val="19CD4F0C"/>
    <w:rsid w:val="19E576EB"/>
    <w:rsid w:val="19F704E3"/>
    <w:rsid w:val="1A102FFE"/>
    <w:rsid w:val="1A2735AF"/>
    <w:rsid w:val="1A644AB4"/>
    <w:rsid w:val="1A7D7923"/>
    <w:rsid w:val="1A98650B"/>
    <w:rsid w:val="1A9D1D74"/>
    <w:rsid w:val="1AD70FEB"/>
    <w:rsid w:val="1ADA70F7"/>
    <w:rsid w:val="1ADE52DA"/>
    <w:rsid w:val="1AFF4613"/>
    <w:rsid w:val="1B49619E"/>
    <w:rsid w:val="1B6A60FA"/>
    <w:rsid w:val="1B701236"/>
    <w:rsid w:val="1BAC6712"/>
    <w:rsid w:val="1BB83309"/>
    <w:rsid w:val="1BD57D32"/>
    <w:rsid w:val="1BD712B5"/>
    <w:rsid w:val="1BE30BF5"/>
    <w:rsid w:val="1BF14125"/>
    <w:rsid w:val="1C12523F"/>
    <w:rsid w:val="1C16002F"/>
    <w:rsid w:val="1C1821EF"/>
    <w:rsid w:val="1C365FDC"/>
    <w:rsid w:val="1C395ACC"/>
    <w:rsid w:val="1C47643B"/>
    <w:rsid w:val="1C556DAA"/>
    <w:rsid w:val="1C5B4972"/>
    <w:rsid w:val="1C662D65"/>
    <w:rsid w:val="1C786A3B"/>
    <w:rsid w:val="1C7D253B"/>
    <w:rsid w:val="1C7F2697"/>
    <w:rsid w:val="1C84143D"/>
    <w:rsid w:val="1C942349"/>
    <w:rsid w:val="1CA2751E"/>
    <w:rsid w:val="1CAC2742"/>
    <w:rsid w:val="1CB33AD0"/>
    <w:rsid w:val="1CC04712"/>
    <w:rsid w:val="1CE819CC"/>
    <w:rsid w:val="1CEF719F"/>
    <w:rsid w:val="1CFE1968"/>
    <w:rsid w:val="1D2E3157"/>
    <w:rsid w:val="1DA33B45"/>
    <w:rsid w:val="1DA7106E"/>
    <w:rsid w:val="1DAD6772"/>
    <w:rsid w:val="1DAF4B38"/>
    <w:rsid w:val="1DDA0D6B"/>
    <w:rsid w:val="1DDF7A40"/>
    <w:rsid w:val="1DE228BA"/>
    <w:rsid w:val="1E0839A8"/>
    <w:rsid w:val="1E8F2A80"/>
    <w:rsid w:val="1EB9030D"/>
    <w:rsid w:val="1EC91389"/>
    <w:rsid w:val="1EDA4679"/>
    <w:rsid w:val="1EE05D46"/>
    <w:rsid w:val="1F03544E"/>
    <w:rsid w:val="1F0829B6"/>
    <w:rsid w:val="1F2C2D5F"/>
    <w:rsid w:val="1F470500"/>
    <w:rsid w:val="1F5246BA"/>
    <w:rsid w:val="1F6327D6"/>
    <w:rsid w:val="1F6E513F"/>
    <w:rsid w:val="1FA0658E"/>
    <w:rsid w:val="1FB65DB1"/>
    <w:rsid w:val="1FCF0C21"/>
    <w:rsid w:val="1FD16E47"/>
    <w:rsid w:val="1FDE70B6"/>
    <w:rsid w:val="1FE83A91"/>
    <w:rsid w:val="20052895"/>
    <w:rsid w:val="201605FE"/>
    <w:rsid w:val="201C3760"/>
    <w:rsid w:val="20210D51"/>
    <w:rsid w:val="202F2F0A"/>
    <w:rsid w:val="20322F5E"/>
    <w:rsid w:val="203B7DCD"/>
    <w:rsid w:val="2040567B"/>
    <w:rsid w:val="204158E1"/>
    <w:rsid w:val="20476A09"/>
    <w:rsid w:val="204A02A8"/>
    <w:rsid w:val="20717F2A"/>
    <w:rsid w:val="208F6602"/>
    <w:rsid w:val="209459C7"/>
    <w:rsid w:val="20A420AE"/>
    <w:rsid w:val="20B322F1"/>
    <w:rsid w:val="20C067BC"/>
    <w:rsid w:val="20C242E2"/>
    <w:rsid w:val="20C91B14"/>
    <w:rsid w:val="20D44015"/>
    <w:rsid w:val="20E643A0"/>
    <w:rsid w:val="20FD26FC"/>
    <w:rsid w:val="211E3B5E"/>
    <w:rsid w:val="2146615C"/>
    <w:rsid w:val="21505D92"/>
    <w:rsid w:val="216A06D1"/>
    <w:rsid w:val="216D6919"/>
    <w:rsid w:val="21780E44"/>
    <w:rsid w:val="21933ED0"/>
    <w:rsid w:val="21B61F52"/>
    <w:rsid w:val="21C36564"/>
    <w:rsid w:val="21C81DCC"/>
    <w:rsid w:val="21D249F9"/>
    <w:rsid w:val="21DA38AD"/>
    <w:rsid w:val="21F84180"/>
    <w:rsid w:val="220B1CB9"/>
    <w:rsid w:val="22500474"/>
    <w:rsid w:val="22513B6F"/>
    <w:rsid w:val="22525B39"/>
    <w:rsid w:val="2259429C"/>
    <w:rsid w:val="227B2926"/>
    <w:rsid w:val="22835CF3"/>
    <w:rsid w:val="22865684"/>
    <w:rsid w:val="228C104B"/>
    <w:rsid w:val="22AC3437"/>
    <w:rsid w:val="22BA5A10"/>
    <w:rsid w:val="22CF718A"/>
    <w:rsid w:val="22E61ED9"/>
    <w:rsid w:val="231E7B37"/>
    <w:rsid w:val="23220BA9"/>
    <w:rsid w:val="233D40F4"/>
    <w:rsid w:val="23450EDC"/>
    <w:rsid w:val="23515DF1"/>
    <w:rsid w:val="23517B9F"/>
    <w:rsid w:val="23531B69"/>
    <w:rsid w:val="235D02F2"/>
    <w:rsid w:val="235F406A"/>
    <w:rsid w:val="236B2E9C"/>
    <w:rsid w:val="238826AD"/>
    <w:rsid w:val="238B742E"/>
    <w:rsid w:val="23987286"/>
    <w:rsid w:val="23AD74CB"/>
    <w:rsid w:val="23AE6D9F"/>
    <w:rsid w:val="23B24756"/>
    <w:rsid w:val="23D45DC0"/>
    <w:rsid w:val="23E1155B"/>
    <w:rsid w:val="23E97DD8"/>
    <w:rsid w:val="23ED1676"/>
    <w:rsid w:val="23ED3E64"/>
    <w:rsid w:val="241F1A4B"/>
    <w:rsid w:val="242B4894"/>
    <w:rsid w:val="243472A5"/>
    <w:rsid w:val="24376D95"/>
    <w:rsid w:val="245A4A6F"/>
    <w:rsid w:val="247A404C"/>
    <w:rsid w:val="248A15BB"/>
    <w:rsid w:val="249F7694"/>
    <w:rsid w:val="24A92885"/>
    <w:rsid w:val="24F86524"/>
    <w:rsid w:val="25001B3E"/>
    <w:rsid w:val="250F1AC0"/>
    <w:rsid w:val="2513335E"/>
    <w:rsid w:val="251F61A7"/>
    <w:rsid w:val="252E0198"/>
    <w:rsid w:val="25340E3D"/>
    <w:rsid w:val="254259F1"/>
    <w:rsid w:val="25545BB7"/>
    <w:rsid w:val="25550C1E"/>
    <w:rsid w:val="255D409B"/>
    <w:rsid w:val="256A4F48"/>
    <w:rsid w:val="2575365A"/>
    <w:rsid w:val="25781413"/>
    <w:rsid w:val="258204E4"/>
    <w:rsid w:val="258B7398"/>
    <w:rsid w:val="25A71CF8"/>
    <w:rsid w:val="25BD21AD"/>
    <w:rsid w:val="25CA6E09"/>
    <w:rsid w:val="25D6438C"/>
    <w:rsid w:val="25E25090"/>
    <w:rsid w:val="25F3318F"/>
    <w:rsid w:val="25F5515A"/>
    <w:rsid w:val="25F64996"/>
    <w:rsid w:val="262B0B7B"/>
    <w:rsid w:val="265A6D6B"/>
    <w:rsid w:val="266876DA"/>
    <w:rsid w:val="268C2968"/>
    <w:rsid w:val="26C65C0F"/>
    <w:rsid w:val="26C708A4"/>
    <w:rsid w:val="26C757BD"/>
    <w:rsid w:val="26D74C67"/>
    <w:rsid w:val="26DB434F"/>
    <w:rsid w:val="26EA4592"/>
    <w:rsid w:val="26ED1D1A"/>
    <w:rsid w:val="26EE4083"/>
    <w:rsid w:val="27046DB7"/>
    <w:rsid w:val="271565FB"/>
    <w:rsid w:val="27207FB4"/>
    <w:rsid w:val="27331D58"/>
    <w:rsid w:val="27391076"/>
    <w:rsid w:val="27391BD0"/>
    <w:rsid w:val="27426D58"/>
    <w:rsid w:val="27607710"/>
    <w:rsid w:val="276C3F85"/>
    <w:rsid w:val="276E2ACE"/>
    <w:rsid w:val="27735B86"/>
    <w:rsid w:val="277B1EA4"/>
    <w:rsid w:val="278D4EE0"/>
    <w:rsid w:val="2790513A"/>
    <w:rsid w:val="27A961FC"/>
    <w:rsid w:val="27A96AB9"/>
    <w:rsid w:val="27CD31BF"/>
    <w:rsid w:val="27D95EBF"/>
    <w:rsid w:val="27DC037F"/>
    <w:rsid w:val="27EC31AA"/>
    <w:rsid w:val="280A4686"/>
    <w:rsid w:val="281F026C"/>
    <w:rsid w:val="283A284D"/>
    <w:rsid w:val="285919D0"/>
    <w:rsid w:val="28595263"/>
    <w:rsid w:val="2868457E"/>
    <w:rsid w:val="28793E20"/>
    <w:rsid w:val="28926CDF"/>
    <w:rsid w:val="2895372B"/>
    <w:rsid w:val="28AA222B"/>
    <w:rsid w:val="28B23E50"/>
    <w:rsid w:val="28C64DCA"/>
    <w:rsid w:val="28C802B7"/>
    <w:rsid w:val="28DE1ED5"/>
    <w:rsid w:val="28DF17A9"/>
    <w:rsid w:val="28F24E95"/>
    <w:rsid w:val="28FB65E3"/>
    <w:rsid w:val="28FC235B"/>
    <w:rsid w:val="29174AC8"/>
    <w:rsid w:val="2920429C"/>
    <w:rsid w:val="294B0A9B"/>
    <w:rsid w:val="29581C87"/>
    <w:rsid w:val="296D0CD1"/>
    <w:rsid w:val="296E14AB"/>
    <w:rsid w:val="296F5223"/>
    <w:rsid w:val="297A1C52"/>
    <w:rsid w:val="2987431B"/>
    <w:rsid w:val="299507E6"/>
    <w:rsid w:val="29AB625B"/>
    <w:rsid w:val="29CD4855"/>
    <w:rsid w:val="29CF181E"/>
    <w:rsid w:val="2A005E38"/>
    <w:rsid w:val="2A133E00"/>
    <w:rsid w:val="2A3873C3"/>
    <w:rsid w:val="2A4116A6"/>
    <w:rsid w:val="2A75037D"/>
    <w:rsid w:val="2A756869"/>
    <w:rsid w:val="2A9F38E6"/>
    <w:rsid w:val="2AA8279A"/>
    <w:rsid w:val="2AB27C3C"/>
    <w:rsid w:val="2AB63109"/>
    <w:rsid w:val="2ABF7AE4"/>
    <w:rsid w:val="2ACD0453"/>
    <w:rsid w:val="2AD322F2"/>
    <w:rsid w:val="2AF84EE9"/>
    <w:rsid w:val="2AFE23BA"/>
    <w:rsid w:val="2B0379D1"/>
    <w:rsid w:val="2B0C0F7B"/>
    <w:rsid w:val="2B23496F"/>
    <w:rsid w:val="2B371B8A"/>
    <w:rsid w:val="2B397896"/>
    <w:rsid w:val="2B6D12EE"/>
    <w:rsid w:val="2B8E1990"/>
    <w:rsid w:val="2BA506CA"/>
    <w:rsid w:val="2BAA2542"/>
    <w:rsid w:val="2BAD7EEE"/>
    <w:rsid w:val="2BD31A99"/>
    <w:rsid w:val="2BE45A54"/>
    <w:rsid w:val="2BF9180D"/>
    <w:rsid w:val="2C210F74"/>
    <w:rsid w:val="2C245E51"/>
    <w:rsid w:val="2C3116AB"/>
    <w:rsid w:val="2C602C01"/>
    <w:rsid w:val="2C620DE5"/>
    <w:rsid w:val="2C697D08"/>
    <w:rsid w:val="2C6E5E3A"/>
    <w:rsid w:val="2C813885"/>
    <w:rsid w:val="2C840FE5"/>
    <w:rsid w:val="2C8C39F6"/>
    <w:rsid w:val="2C9A6113"/>
    <w:rsid w:val="2CBD1492"/>
    <w:rsid w:val="2CD4412F"/>
    <w:rsid w:val="2CED0939"/>
    <w:rsid w:val="2CED26E7"/>
    <w:rsid w:val="2CFC6DCE"/>
    <w:rsid w:val="2D151C3D"/>
    <w:rsid w:val="2D32459D"/>
    <w:rsid w:val="2D3B5B48"/>
    <w:rsid w:val="2D406CBA"/>
    <w:rsid w:val="2D4300C9"/>
    <w:rsid w:val="2D430559"/>
    <w:rsid w:val="2D4C45A1"/>
    <w:rsid w:val="2D510EC7"/>
    <w:rsid w:val="2D67693D"/>
    <w:rsid w:val="2D6D3827"/>
    <w:rsid w:val="2D894D72"/>
    <w:rsid w:val="2D8D5C78"/>
    <w:rsid w:val="2DAD00C8"/>
    <w:rsid w:val="2DC44A4F"/>
    <w:rsid w:val="2DC55411"/>
    <w:rsid w:val="2DD12008"/>
    <w:rsid w:val="2E083F3B"/>
    <w:rsid w:val="2E0B376C"/>
    <w:rsid w:val="2E224299"/>
    <w:rsid w:val="2E3507E9"/>
    <w:rsid w:val="2E5077D3"/>
    <w:rsid w:val="2E6A3E61"/>
    <w:rsid w:val="2E876B6B"/>
    <w:rsid w:val="2E954DE4"/>
    <w:rsid w:val="2E9C0E80"/>
    <w:rsid w:val="2EAD053B"/>
    <w:rsid w:val="2EBD258D"/>
    <w:rsid w:val="2EC03CB2"/>
    <w:rsid w:val="2EC67693"/>
    <w:rsid w:val="2EC8145A"/>
    <w:rsid w:val="2ED0766D"/>
    <w:rsid w:val="2EDD678B"/>
    <w:rsid w:val="2EF20132"/>
    <w:rsid w:val="2F166361"/>
    <w:rsid w:val="2F2245E7"/>
    <w:rsid w:val="2F2A2D4D"/>
    <w:rsid w:val="2F452CAE"/>
    <w:rsid w:val="2F4A6121"/>
    <w:rsid w:val="2F7D6EF5"/>
    <w:rsid w:val="2FA95B86"/>
    <w:rsid w:val="2FB83480"/>
    <w:rsid w:val="2FC040E2"/>
    <w:rsid w:val="2FCF4325"/>
    <w:rsid w:val="2FD6110E"/>
    <w:rsid w:val="2FE54285"/>
    <w:rsid w:val="2FF80E15"/>
    <w:rsid w:val="2FFD79D3"/>
    <w:rsid w:val="300852DE"/>
    <w:rsid w:val="30087837"/>
    <w:rsid w:val="30182170"/>
    <w:rsid w:val="301B756B"/>
    <w:rsid w:val="302145DD"/>
    <w:rsid w:val="3025488D"/>
    <w:rsid w:val="3034687E"/>
    <w:rsid w:val="30523594"/>
    <w:rsid w:val="30546461"/>
    <w:rsid w:val="307A5119"/>
    <w:rsid w:val="30890978"/>
    <w:rsid w:val="309C4B4F"/>
    <w:rsid w:val="30A734F4"/>
    <w:rsid w:val="30A9726C"/>
    <w:rsid w:val="30D51E0F"/>
    <w:rsid w:val="30DA7426"/>
    <w:rsid w:val="30E738F1"/>
    <w:rsid w:val="30E829D4"/>
    <w:rsid w:val="30F8356E"/>
    <w:rsid w:val="30F85AFE"/>
    <w:rsid w:val="310D15A9"/>
    <w:rsid w:val="31244B45"/>
    <w:rsid w:val="312C3DE1"/>
    <w:rsid w:val="314F3970"/>
    <w:rsid w:val="31556AAC"/>
    <w:rsid w:val="316C5EBB"/>
    <w:rsid w:val="318C4058"/>
    <w:rsid w:val="318C4BC4"/>
    <w:rsid w:val="31AF28A2"/>
    <w:rsid w:val="31B639EF"/>
    <w:rsid w:val="31D9592F"/>
    <w:rsid w:val="31E645B2"/>
    <w:rsid w:val="31F12C79"/>
    <w:rsid w:val="31F134B7"/>
    <w:rsid w:val="32244DFC"/>
    <w:rsid w:val="322667B5"/>
    <w:rsid w:val="328303DD"/>
    <w:rsid w:val="32A7158A"/>
    <w:rsid w:val="32CC7242"/>
    <w:rsid w:val="32E0684A"/>
    <w:rsid w:val="32E620B2"/>
    <w:rsid w:val="32EB3B6C"/>
    <w:rsid w:val="32EE0F67"/>
    <w:rsid w:val="32F02F31"/>
    <w:rsid w:val="32FD11AA"/>
    <w:rsid w:val="33024A12"/>
    <w:rsid w:val="33136C1F"/>
    <w:rsid w:val="332E6E23"/>
    <w:rsid w:val="333746BC"/>
    <w:rsid w:val="33770F5C"/>
    <w:rsid w:val="337D2302"/>
    <w:rsid w:val="33823753"/>
    <w:rsid w:val="338B2C59"/>
    <w:rsid w:val="33A65CE5"/>
    <w:rsid w:val="33A80E65"/>
    <w:rsid w:val="33AA05E8"/>
    <w:rsid w:val="33B169AF"/>
    <w:rsid w:val="33C66680"/>
    <w:rsid w:val="33E3258B"/>
    <w:rsid w:val="33FB393B"/>
    <w:rsid w:val="34131B96"/>
    <w:rsid w:val="341B4D8B"/>
    <w:rsid w:val="342948AC"/>
    <w:rsid w:val="3431795E"/>
    <w:rsid w:val="343D55E2"/>
    <w:rsid w:val="34452E08"/>
    <w:rsid w:val="34552B86"/>
    <w:rsid w:val="34627E5E"/>
    <w:rsid w:val="34980AC4"/>
    <w:rsid w:val="349D0E96"/>
    <w:rsid w:val="34E21963"/>
    <w:rsid w:val="34E50CCC"/>
    <w:rsid w:val="34F14D3E"/>
    <w:rsid w:val="34F62354"/>
    <w:rsid w:val="352D221A"/>
    <w:rsid w:val="35387D63"/>
    <w:rsid w:val="353A4937"/>
    <w:rsid w:val="354D6418"/>
    <w:rsid w:val="358931C8"/>
    <w:rsid w:val="35A952DD"/>
    <w:rsid w:val="35BA7826"/>
    <w:rsid w:val="35C10BB4"/>
    <w:rsid w:val="35EF7BE2"/>
    <w:rsid w:val="35F5260C"/>
    <w:rsid w:val="35F70776"/>
    <w:rsid w:val="36186477"/>
    <w:rsid w:val="362829E1"/>
    <w:rsid w:val="36356EAC"/>
    <w:rsid w:val="36405F7D"/>
    <w:rsid w:val="36427103"/>
    <w:rsid w:val="36454420"/>
    <w:rsid w:val="36622CED"/>
    <w:rsid w:val="36633A19"/>
    <w:rsid w:val="367232C8"/>
    <w:rsid w:val="36730100"/>
    <w:rsid w:val="367664B1"/>
    <w:rsid w:val="367D1DCA"/>
    <w:rsid w:val="369E4A52"/>
    <w:rsid w:val="36E508D2"/>
    <w:rsid w:val="36FF1994"/>
    <w:rsid w:val="370C0700"/>
    <w:rsid w:val="371B152F"/>
    <w:rsid w:val="37384EA6"/>
    <w:rsid w:val="37427AD3"/>
    <w:rsid w:val="37643EED"/>
    <w:rsid w:val="376E6490"/>
    <w:rsid w:val="378A14AC"/>
    <w:rsid w:val="37904CE2"/>
    <w:rsid w:val="37A23B2A"/>
    <w:rsid w:val="37A7550F"/>
    <w:rsid w:val="37A83712"/>
    <w:rsid w:val="37B24AB3"/>
    <w:rsid w:val="37C640CA"/>
    <w:rsid w:val="37C8622A"/>
    <w:rsid w:val="37E42938"/>
    <w:rsid w:val="3809239F"/>
    <w:rsid w:val="38156F95"/>
    <w:rsid w:val="38186BB8"/>
    <w:rsid w:val="381B0A50"/>
    <w:rsid w:val="38510CC6"/>
    <w:rsid w:val="389B393F"/>
    <w:rsid w:val="389D18F0"/>
    <w:rsid w:val="38AC5B4C"/>
    <w:rsid w:val="38AD56EA"/>
    <w:rsid w:val="38BD38B5"/>
    <w:rsid w:val="38BE13DB"/>
    <w:rsid w:val="38CD7870"/>
    <w:rsid w:val="38ED03A5"/>
    <w:rsid w:val="38F11583"/>
    <w:rsid w:val="38F20621"/>
    <w:rsid w:val="39026556"/>
    <w:rsid w:val="3911775D"/>
    <w:rsid w:val="391B682D"/>
    <w:rsid w:val="3943394F"/>
    <w:rsid w:val="39553AED"/>
    <w:rsid w:val="39663F4D"/>
    <w:rsid w:val="39731775"/>
    <w:rsid w:val="39A44A75"/>
    <w:rsid w:val="39AE31FE"/>
    <w:rsid w:val="39B24392"/>
    <w:rsid w:val="39BF2767"/>
    <w:rsid w:val="39CD3FCC"/>
    <w:rsid w:val="39CE564E"/>
    <w:rsid w:val="39D569DC"/>
    <w:rsid w:val="39E5694E"/>
    <w:rsid w:val="39E8099F"/>
    <w:rsid w:val="39E97BF2"/>
    <w:rsid w:val="39EC027C"/>
    <w:rsid w:val="39F448CD"/>
    <w:rsid w:val="39FF7EFD"/>
    <w:rsid w:val="3A1219DE"/>
    <w:rsid w:val="3A4D0C68"/>
    <w:rsid w:val="3A4D3806"/>
    <w:rsid w:val="3A5B6136"/>
    <w:rsid w:val="3A5C0EAC"/>
    <w:rsid w:val="3A7A7584"/>
    <w:rsid w:val="3A850B77"/>
    <w:rsid w:val="3A887EF3"/>
    <w:rsid w:val="3A9B09EB"/>
    <w:rsid w:val="3AA20FB4"/>
    <w:rsid w:val="3AA27206"/>
    <w:rsid w:val="3AA36ADA"/>
    <w:rsid w:val="3AAA009C"/>
    <w:rsid w:val="3AAD7959"/>
    <w:rsid w:val="3ADC2E01"/>
    <w:rsid w:val="3AEA295B"/>
    <w:rsid w:val="3AFC23EB"/>
    <w:rsid w:val="3B0E03F8"/>
    <w:rsid w:val="3B1E711C"/>
    <w:rsid w:val="3B26424A"/>
    <w:rsid w:val="3B4200A1"/>
    <w:rsid w:val="3B4A51A8"/>
    <w:rsid w:val="3B4E4C98"/>
    <w:rsid w:val="3B5E4A0D"/>
    <w:rsid w:val="3B7F12F6"/>
    <w:rsid w:val="3B800BCA"/>
    <w:rsid w:val="3B8E7126"/>
    <w:rsid w:val="3B9D5C20"/>
    <w:rsid w:val="3BB15227"/>
    <w:rsid w:val="3BC136BC"/>
    <w:rsid w:val="3BC90B0B"/>
    <w:rsid w:val="3BDC22A4"/>
    <w:rsid w:val="3BE83B47"/>
    <w:rsid w:val="3C261771"/>
    <w:rsid w:val="3C384E8C"/>
    <w:rsid w:val="3C3C2D43"/>
    <w:rsid w:val="3C5C1637"/>
    <w:rsid w:val="3C6D114E"/>
    <w:rsid w:val="3C6D55F2"/>
    <w:rsid w:val="3C770627"/>
    <w:rsid w:val="3C917532"/>
    <w:rsid w:val="3CA863A8"/>
    <w:rsid w:val="3CB11983"/>
    <w:rsid w:val="3CD8017B"/>
    <w:rsid w:val="3CDE71C1"/>
    <w:rsid w:val="3CEB3FEF"/>
    <w:rsid w:val="3D0C6BB9"/>
    <w:rsid w:val="3D1141CF"/>
    <w:rsid w:val="3D17730C"/>
    <w:rsid w:val="3D22018A"/>
    <w:rsid w:val="3D3805DF"/>
    <w:rsid w:val="3D3E0D3C"/>
    <w:rsid w:val="3D453E79"/>
    <w:rsid w:val="3D49647F"/>
    <w:rsid w:val="3D5D11C3"/>
    <w:rsid w:val="3D622C7D"/>
    <w:rsid w:val="3D70539A"/>
    <w:rsid w:val="3D755A0B"/>
    <w:rsid w:val="3D9646D4"/>
    <w:rsid w:val="3DAB4624"/>
    <w:rsid w:val="3DB66B25"/>
    <w:rsid w:val="3DC456E6"/>
    <w:rsid w:val="3DDB658B"/>
    <w:rsid w:val="3E0E4BB3"/>
    <w:rsid w:val="3E104487"/>
    <w:rsid w:val="3E1D321A"/>
    <w:rsid w:val="3E2241BA"/>
    <w:rsid w:val="3E3D0FF4"/>
    <w:rsid w:val="3E483C21"/>
    <w:rsid w:val="3E5D51F2"/>
    <w:rsid w:val="3E7C7D6E"/>
    <w:rsid w:val="3E945C80"/>
    <w:rsid w:val="3E9862B8"/>
    <w:rsid w:val="3EA90437"/>
    <w:rsid w:val="3EAB41B0"/>
    <w:rsid w:val="3EC82FB3"/>
    <w:rsid w:val="3ECF60F0"/>
    <w:rsid w:val="3EDC25BB"/>
    <w:rsid w:val="3EE651E8"/>
    <w:rsid w:val="3EFB6EE5"/>
    <w:rsid w:val="3F033FEC"/>
    <w:rsid w:val="3F147857"/>
    <w:rsid w:val="3F1D5F61"/>
    <w:rsid w:val="3F2006FA"/>
    <w:rsid w:val="3F264703"/>
    <w:rsid w:val="3F3044D0"/>
    <w:rsid w:val="3F424B14"/>
    <w:rsid w:val="3F696545"/>
    <w:rsid w:val="3F6E5909"/>
    <w:rsid w:val="3F731171"/>
    <w:rsid w:val="3FA702E8"/>
    <w:rsid w:val="3FB377C0"/>
    <w:rsid w:val="3FB83028"/>
    <w:rsid w:val="3FBD063E"/>
    <w:rsid w:val="3FC512A1"/>
    <w:rsid w:val="3FC714BD"/>
    <w:rsid w:val="3FCB2D5B"/>
    <w:rsid w:val="3FDA34B1"/>
    <w:rsid w:val="3FDB2873"/>
    <w:rsid w:val="3FE931E1"/>
    <w:rsid w:val="3FF12096"/>
    <w:rsid w:val="40363F4D"/>
    <w:rsid w:val="40381A73"/>
    <w:rsid w:val="40493C80"/>
    <w:rsid w:val="40662A84"/>
    <w:rsid w:val="40756EBE"/>
    <w:rsid w:val="4084115C"/>
    <w:rsid w:val="40923879"/>
    <w:rsid w:val="409F5F96"/>
    <w:rsid w:val="40A62E81"/>
    <w:rsid w:val="40BF38EE"/>
    <w:rsid w:val="40C81C57"/>
    <w:rsid w:val="40D20119"/>
    <w:rsid w:val="40DC4AF4"/>
    <w:rsid w:val="40EF2A79"/>
    <w:rsid w:val="40FA31CC"/>
    <w:rsid w:val="410E7DF5"/>
    <w:rsid w:val="412A751D"/>
    <w:rsid w:val="41415242"/>
    <w:rsid w:val="41466412"/>
    <w:rsid w:val="414A7CB0"/>
    <w:rsid w:val="414C1C7A"/>
    <w:rsid w:val="4154318A"/>
    <w:rsid w:val="41641184"/>
    <w:rsid w:val="41696778"/>
    <w:rsid w:val="416F5968"/>
    <w:rsid w:val="4173594E"/>
    <w:rsid w:val="417B255F"/>
    <w:rsid w:val="419A788D"/>
    <w:rsid w:val="41AD09C3"/>
    <w:rsid w:val="41C05228"/>
    <w:rsid w:val="41CA04D7"/>
    <w:rsid w:val="41D43A1D"/>
    <w:rsid w:val="41DD28D2"/>
    <w:rsid w:val="41FB137B"/>
    <w:rsid w:val="41FB7F39"/>
    <w:rsid w:val="42051E29"/>
    <w:rsid w:val="420662CD"/>
    <w:rsid w:val="4207456D"/>
    <w:rsid w:val="421502BE"/>
    <w:rsid w:val="425154F8"/>
    <w:rsid w:val="42644DA1"/>
    <w:rsid w:val="426E3D2D"/>
    <w:rsid w:val="427850ED"/>
    <w:rsid w:val="429A07C3"/>
    <w:rsid w:val="42A7230A"/>
    <w:rsid w:val="42ED2FE9"/>
    <w:rsid w:val="43000F6E"/>
    <w:rsid w:val="43030A5E"/>
    <w:rsid w:val="430F7403"/>
    <w:rsid w:val="432602A9"/>
    <w:rsid w:val="43346222"/>
    <w:rsid w:val="435F0AA0"/>
    <w:rsid w:val="437A5885"/>
    <w:rsid w:val="439E6277"/>
    <w:rsid w:val="43B600AD"/>
    <w:rsid w:val="43CD1789"/>
    <w:rsid w:val="43D63A7D"/>
    <w:rsid w:val="43DF733B"/>
    <w:rsid w:val="43E371ED"/>
    <w:rsid w:val="43EA7528"/>
    <w:rsid w:val="43F108B7"/>
    <w:rsid w:val="43FE4C25"/>
    <w:rsid w:val="440419F3"/>
    <w:rsid w:val="441E4D86"/>
    <w:rsid w:val="4436451B"/>
    <w:rsid w:val="446F063A"/>
    <w:rsid w:val="448046DC"/>
    <w:rsid w:val="4484797D"/>
    <w:rsid w:val="44986059"/>
    <w:rsid w:val="44A678F3"/>
    <w:rsid w:val="44A818BD"/>
    <w:rsid w:val="44CC6C2E"/>
    <w:rsid w:val="44CF19E1"/>
    <w:rsid w:val="44D0720B"/>
    <w:rsid w:val="44D07D4A"/>
    <w:rsid w:val="44D53D34"/>
    <w:rsid w:val="4524075B"/>
    <w:rsid w:val="45442C68"/>
    <w:rsid w:val="454676EB"/>
    <w:rsid w:val="45487509"/>
    <w:rsid w:val="45541CEF"/>
    <w:rsid w:val="456B4699"/>
    <w:rsid w:val="45813EBC"/>
    <w:rsid w:val="458F482B"/>
    <w:rsid w:val="45BB117C"/>
    <w:rsid w:val="45C06792"/>
    <w:rsid w:val="45C76CFE"/>
    <w:rsid w:val="45F0690E"/>
    <w:rsid w:val="45F610F0"/>
    <w:rsid w:val="45FB3C6E"/>
    <w:rsid w:val="460366D7"/>
    <w:rsid w:val="4609638B"/>
    <w:rsid w:val="460C3316"/>
    <w:rsid w:val="46280371"/>
    <w:rsid w:val="463827CD"/>
    <w:rsid w:val="46530576"/>
    <w:rsid w:val="465D33BE"/>
    <w:rsid w:val="465D3D30"/>
    <w:rsid w:val="46647A66"/>
    <w:rsid w:val="46916381"/>
    <w:rsid w:val="46943C51"/>
    <w:rsid w:val="46945A20"/>
    <w:rsid w:val="469A6FE4"/>
    <w:rsid w:val="46A3401E"/>
    <w:rsid w:val="46CC1167"/>
    <w:rsid w:val="46D85D5E"/>
    <w:rsid w:val="46FB137F"/>
    <w:rsid w:val="46FB50CF"/>
    <w:rsid w:val="46FC37FA"/>
    <w:rsid w:val="471C718B"/>
    <w:rsid w:val="4738351D"/>
    <w:rsid w:val="474456A1"/>
    <w:rsid w:val="47577922"/>
    <w:rsid w:val="475950F1"/>
    <w:rsid w:val="476D46F8"/>
    <w:rsid w:val="477261B2"/>
    <w:rsid w:val="477A6E6A"/>
    <w:rsid w:val="477C3E4E"/>
    <w:rsid w:val="477E6905"/>
    <w:rsid w:val="479E6FA7"/>
    <w:rsid w:val="47D97FDF"/>
    <w:rsid w:val="47E32FBE"/>
    <w:rsid w:val="47E50732"/>
    <w:rsid w:val="48054198"/>
    <w:rsid w:val="481E3C44"/>
    <w:rsid w:val="482E1FB6"/>
    <w:rsid w:val="48380768"/>
    <w:rsid w:val="4840005F"/>
    <w:rsid w:val="484A4A39"/>
    <w:rsid w:val="484E277B"/>
    <w:rsid w:val="485E04E5"/>
    <w:rsid w:val="48621B0C"/>
    <w:rsid w:val="488F12B1"/>
    <w:rsid w:val="489451D8"/>
    <w:rsid w:val="489D6FB7"/>
    <w:rsid w:val="48B055A5"/>
    <w:rsid w:val="48C2536A"/>
    <w:rsid w:val="48EB1D78"/>
    <w:rsid w:val="48F331AB"/>
    <w:rsid w:val="48F75EC4"/>
    <w:rsid w:val="49227764"/>
    <w:rsid w:val="493C2BF3"/>
    <w:rsid w:val="4941408E"/>
    <w:rsid w:val="49431BB4"/>
    <w:rsid w:val="49601FEE"/>
    <w:rsid w:val="49853754"/>
    <w:rsid w:val="49A10689"/>
    <w:rsid w:val="49BA799D"/>
    <w:rsid w:val="49F92273"/>
    <w:rsid w:val="4A0A03B9"/>
    <w:rsid w:val="4A0D21C2"/>
    <w:rsid w:val="4A1134A2"/>
    <w:rsid w:val="4A2B43F6"/>
    <w:rsid w:val="4A48168E"/>
    <w:rsid w:val="4A4E23DD"/>
    <w:rsid w:val="4A5A3216"/>
    <w:rsid w:val="4A713F14"/>
    <w:rsid w:val="4A732ADF"/>
    <w:rsid w:val="4A7D4C52"/>
    <w:rsid w:val="4A963F66"/>
    <w:rsid w:val="4A96711A"/>
    <w:rsid w:val="4AB4049F"/>
    <w:rsid w:val="4AB80380"/>
    <w:rsid w:val="4AC81B75"/>
    <w:rsid w:val="4B0215FB"/>
    <w:rsid w:val="4B3B1EDD"/>
    <w:rsid w:val="4B7A3887"/>
    <w:rsid w:val="4B7E5126"/>
    <w:rsid w:val="4B895879"/>
    <w:rsid w:val="4B8B339F"/>
    <w:rsid w:val="4B951B65"/>
    <w:rsid w:val="4BA32DDE"/>
    <w:rsid w:val="4BB17956"/>
    <w:rsid w:val="4BD05255"/>
    <w:rsid w:val="4BE807F1"/>
    <w:rsid w:val="4BE84E68"/>
    <w:rsid w:val="4BFE5D6A"/>
    <w:rsid w:val="4C147916"/>
    <w:rsid w:val="4C234615"/>
    <w:rsid w:val="4C3D6555"/>
    <w:rsid w:val="4C673E0C"/>
    <w:rsid w:val="4C6B2B37"/>
    <w:rsid w:val="4C6C1422"/>
    <w:rsid w:val="4CAF7561"/>
    <w:rsid w:val="4CCA03D9"/>
    <w:rsid w:val="4CE94821"/>
    <w:rsid w:val="4CEC4311"/>
    <w:rsid w:val="4CF308FD"/>
    <w:rsid w:val="4D1F0243"/>
    <w:rsid w:val="4D6E4D26"/>
    <w:rsid w:val="4D926C66"/>
    <w:rsid w:val="4DAB5F7A"/>
    <w:rsid w:val="4DB017E2"/>
    <w:rsid w:val="4DC863E5"/>
    <w:rsid w:val="4DCA5A51"/>
    <w:rsid w:val="4DE05CFA"/>
    <w:rsid w:val="4DE12E81"/>
    <w:rsid w:val="4E7D7917"/>
    <w:rsid w:val="4E832A53"/>
    <w:rsid w:val="4EAC3D58"/>
    <w:rsid w:val="4EC015B1"/>
    <w:rsid w:val="4ECC43FA"/>
    <w:rsid w:val="4ECF7A46"/>
    <w:rsid w:val="4ED16A53"/>
    <w:rsid w:val="4EEB16E6"/>
    <w:rsid w:val="4EFA0F67"/>
    <w:rsid w:val="4F0B3174"/>
    <w:rsid w:val="4F0C303F"/>
    <w:rsid w:val="4F2D7040"/>
    <w:rsid w:val="4F45117A"/>
    <w:rsid w:val="4F4626F3"/>
    <w:rsid w:val="4F4915A7"/>
    <w:rsid w:val="4F4A3571"/>
    <w:rsid w:val="4F5D32A4"/>
    <w:rsid w:val="4F6E5A3A"/>
    <w:rsid w:val="4F701229"/>
    <w:rsid w:val="4F727FD6"/>
    <w:rsid w:val="4F824AB9"/>
    <w:rsid w:val="4F8304CF"/>
    <w:rsid w:val="4F840831"/>
    <w:rsid w:val="4F876573"/>
    <w:rsid w:val="4FA26F09"/>
    <w:rsid w:val="4FAE58AE"/>
    <w:rsid w:val="4FAF4286"/>
    <w:rsid w:val="4FB71297"/>
    <w:rsid w:val="4FBF11AA"/>
    <w:rsid w:val="4FD5108C"/>
    <w:rsid w:val="4FE92CD6"/>
    <w:rsid w:val="50221C17"/>
    <w:rsid w:val="502C5EFA"/>
    <w:rsid w:val="502D0274"/>
    <w:rsid w:val="50416722"/>
    <w:rsid w:val="50574197"/>
    <w:rsid w:val="5058343A"/>
    <w:rsid w:val="506153AC"/>
    <w:rsid w:val="507620AE"/>
    <w:rsid w:val="50882014"/>
    <w:rsid w:val="5099655E"/>
    <w:rsid w:val="50A224C3"/>
    <w:rsid w:val="50B20F5F"/>
    <w:rsid w:val="50CD35E8"/>
    <w:rsid w:val="50E023DF"/>
    <w:rsid w:val="50E35A2B"/>
    <w:rsid w:val="50F1639A"/>
    <w:rsid w:val="51257DF2"/>
    <w:rsid w:val="51271DBC"/>
    <w:rsid w:val="513F7105"/>
    <w:rsid w:val="51477D68"/>
    <w:rsid w:val="514A5AAA"/>
    <w:rsid w:val="514C35D0"/>
    <w:rsid w:val="515801C7"/>
    <w:rsid w:val="51593B8D"/>
    <w:rsid w:val="515F007B"/>
    <w:rsid w:val="516140B5"/>
    <w:rsid w:val="51644DBE"/>
    <w:rsid w:val="517A6653"/>
    <w:rsid w:val="518B5EA5"/>
    <w:rsid w:val="518C7E71"/>
    <w:rsid w:val="518F39BC"/>
    <w:rsid w:val="51C969CF"/>
    <w:rsid w:val="51D32F54"/>
    <w:rsid w:val="51FA74D0"/>
    <w:rsid w:val="51FF6894"/>
    <w:rsid w:val="5200269E"/>
    <w:rsid w:val="5200380D"/>
    <w:rsid w:val="520C130D"/>
    <w:rsid w:val="522C7C40"/>
    <w:rsid w:val="522E717A"/>
    <w:rsid w:val="523227C6"/>
    <w:rsid w:val="52374280"/>
    <w:rsid w:val="52377DDC"/>
    <w:rsid w:val="52414318"/>
    <w:rsid w:val="524D7600"/>
    <w:rsid w:val="524E7838"/>
    <w:rsid w:val="527C3337"/>
    <w:rsid w:val="527E1EAF"/>
    <w:rsid w:val="527E5A0B"/>
    <w:rsid w:val="52AF2069"/>
    <w:rsid w:val="52B7716F"/>
    <w:rsid w:val="52C673B2"/>
    <w:rsid w:val="52E4399A"/>
    <w:rsid w:val="531445C2"/>
    <w:rsid w:val="531935A4"/>
    <w:rsid w:val="536524C3"/>
    <w:rsid w:val="536A36BC"/>
    <w:rsid w:val="536D1F1D"/>
    <w:rsid w:val="537312E8"/>
    <w:rsid w:val="538277A4"/>
    <w:rsid w:val="53980D4F"/>
    <w:rsid w:val="53A019B1"/>
    <w:rsid w:val="53AF7E46"/>
    <w:rsid w:val="53C51035"/>
    <w:rsid w:val="53C9715A"/>
    <w:rsid w:val="53CF4A5C"/>
    <w:rsid w:val="53D041D1"/>
    <w:rsid w:val="53EB5322"/>
    <w:rsid w:val="53F81956"/>
    <w:rsid w:val="53F942BD"/>
    <w:rsid w:val="53FB4CCB"/>
    <w:rsid w:val="54014B46"/>
    <w:rsid w:val="540262EE"/>
    <w:rsid w:val="54171B85"/>
    <w:rsid w:val="54244390"/>
    <w:rsid w:val="54305A86"/>
    <w:rsid w:val="543D5452"/>
    <w:rsid w:val="546450D5"/>
    <w:rsid w:val="54684BC5"/>
    <w:rsid w:val="548425AE"/>
    <w:rsid w:val="54877D10"/>
    <w:rsid w:val="549239F0"/>
    <w:rsid w:val="54952A74"/>
    <w:rsid w:val="54A84FC1"/>
    <w:rsid w:val="54B0031A"/>
    <w:rsid w:val="54B020C8"/>
    <w:rsid w:val="54B576DE"/>
    <w:rsid w:val="54CC4DD3"/>
    <w:rsid w:val="54F34662"/>
    <w:rsid w:val="55024449"/>
    <w:rsid w:val="55085BEA"/>
    <w:rsid w:val="55086FD1"/>
    <w:rsid w:val="55172147"/>
    <w:rsid w:val="55410BF9"/>
    <w:rsid w:val="554271C4"/>
    <w:rsid w:val="55794BB0"/>
    <w:rsid w:val="557E3F74"/>
    <w:rsid w:val="5594498E"/>
    <w:rsid w:val="5596306C"/>
    <w:rsid w:val="559E293D"/>
    <w:rsid w:val="55A57753"/>
    <w:rsid w:val="55A84294"/>
    <w:rsid w:val="55AC288F"/>
    <w:rsid w:val="55AC40A5"/>
    <w:rsid w:val="55AD03B6"/>
    <w:rsid w:val="55B1434A"/>
    <w:rsid w:val="55BF6A67"/>
    <w:rsid w:val="55D12054"/>
    <w:rsid w:val="55DA6596"/>
    <w:rsid w:val="560C77D2"/>
    <w:rsid w:val="560F537A"/>
    <w:rsid w:val="5613290E"/>
    <w:rsid w:val="56224489"/>
    <w:rsid w:val="565D4368"/>
    <w:rsid w:val="56603960"/>
    <w:rsid w:val="56625644"/>
    <w:rsid w:val="56690780"/>
    <w:rsid w:val="566B274A"/>
    <w:rsid w:val="566D0271"/>
    <w:rsid w:val="567A298E"/>
    <w:rsid w:val="56895D3F"/>
    <w:rsid w:val="569C2904"/>
    <w:rsid w:val="56A0017C"/>
    <w:rsid w:val="56A1616C"/>
    <w:rsid w:val="56AE5A8D"/>
    <w:rsid w:val="56BC4D54"/>
    <w:rsid w:val="56C2091F"/>
    <w:rsid w:val="56C3571A"/>
    <w:rsid w:val="56DB5BC3"/>
    <w:rsid w:val="56E83D9B"/>
    <w:rsid w:val="56F72230"/>
    <w:rsid w:val="56FA5260"/>
    <w:rsid w:val="572823EA"/>
    <w:rsid w:val="574C257C"/>
    <w:rsid w:val="5755438D"/>
    <w:rsid w:val="57721B9C"/>
    <w:rsid w:val="57825F9E"/>
    <w:rsid w:val="578F4217"/>
    <w:rsid w:val="578F4443"/>
    <w:rsid w:val="57925AB5"/>
    <w:rsid w:val="57AD70E7"/>
    <w:rsid w:val="57B8364E"/>
    <w:rsid w:val="57C23FBC"/>
    <w:rsid w:val="57C95893"/>
    <w:rsid w:val="57CD4D3F"/>
    <w:rsid w:val="57F13149"/>
    <w:rsid w:val="581D1822"/>
    <w:rsid w:val="582E3A30"/>
    <w:rsid w:val="58304C51"/>
    <w:rsid w:val="5835523D"/>
    <w:rsid w:val="583F5C3D"/>
    <w:rsid w:val="587177C3"/>
    <w:rsid w:val="588405A5"/>
    <w:rsid w:val="58841449"/>
    <w:rsid w:val="5898534D"/>
    <w:rsid w:val="589917F1"/>
    <w:rsid w:val="589C4E3D"/>
    <w:rsid w:val="58BB6D57"/>
    <w:rsid w:val="58CF4FE6"/>
    <w:rsid w:val="58D11BCB"/>
    <w:rsid w:val="58D41C07"/>
    <w:rsid w:val="58E93DFA"/>
    <w:rsid w:val="58F44C79"/>
    <w:rsid w:val="59080725"/>
    <w:rsid w:val="590B4DAE"/>
    <w:rsid w:val="59123DF1"/>
    <w:rsid w:val="591B2F0C"/>
    <w:rsid w:val="5921735F"/>
    <w:rsid w:val="59352B9C"/>
    <w:rsid w:val="59360232"/>
    <w:rsid w:val="593D0639"/>
    <w:rsid w:val="594828CF"/>
    <w:rsid w:val="594A7F41"/>
    <w:rsid w:val="596811C3"/>
    <w:rsid w:val="59786F11"/>
    <w:rsid w:val="598B2F92"/>
    <w:rsid w:val="598F25C7"/>
    <w:rsid w:val="59937540"/>
    <w:rsid w:val="59A039F6"/>
    <w:rsid w:val="59AA336E"/>
    <w:rsid w:val="59B63CDD"/>
    <w:rsid w:val="59E60C99"/>
    <w:rsid w:val="59E940B2"/>
    <w:rsid w:val="59EC3BA2"/>
    <w:rsid w:val="59F45AD3"/>
    <w:rsid w:val="59F760A3"/>
    <w:rsid w:val="5A00764E"/>
    <w:rsid w:val="5A274BDA"/>
    <w:rsid w:val="5A5534F6"/>
    <w:rsid w:val="5A57600E"/>
    <w:rsid w:val="5A5E5475"/>
    <w:rsid w:val="5A614BE3"/>
    <w:rsid w:val="5A637F6F"/>
    <w:rsid w:val="5A70032F"/>
    <w:rsid w:val="5A7A29E2"/>
    <w:rsid w:val="5A8D6FFD"/>
    <w:rsid w:val="5AAC6D3A"/>
    <w:rsid w:val="5AB83A84"/>
    <w:rsid w:val="5ABD72ED"/>
    <w:rsid w:val="5AC95C92"/>
    <w:rsid w:val="5AEF6656"/>
    <w:rsid w:val="5AF076C2"/>
    <w:rsid w:val="5AFC1BC3"/>
    <w:rsid w:val="5B055025"/>
    <w:rsid w:val="5B3F5F54"/>
    <w:rsid w:val="5B423A25"/>
    <w:rsid w:val="5B5A5D02"/>
    <w:rsid w:val="5B6D486F"/>
    <w:rsid w:val="5BBE1B75"/>
    <w:rsid w:val="5BC77DF4"/>
    <w:rsid w:val="5BD14DFE"/>
    <w:rsid w:val="5BD743DE"/>
    <w:rsid w:val="5BE31107"/>
    <w:rsid w:val="5BE631DB"/>
    <w:rsid w:val="5BEA5EBF"/>
    <w:rsid w:val="5BF44F90"/>
    <w:rsid w:val="5C121CA4"/>
    <w:rsid w:val="5C1271C4"/>
    <w:rsid w:val="5C1B42CB"/>
    <w:rsid w:val="5C2F267B"/>
    <w:rsid w:val="5C5477DD"/>
    <w:rsid w:val="5C5A1297"/>
    <w:rsid w:val="5C602626"/>
    <w:rsid w:val="5C6519EA"/>
    <w:rsid w:val="5C9108EC"/>
    <w:rsid w:val="5C9936CF"/>
    <w:rsid w:val="5CAB38A1"/>
    <w:rsid w:val="5CAF2C65"/>
    <w:rsid w:val="5CCC7122"/>
    <w:rsid w:val="5CE33DD5"/>
    <w:rsid w:val="5CE62A27"/>
    <w:rsid w:val="5CEE456C"/>
    <w:rsid w:val="5CF42D8C"/>
    <w:rsid w:val="5D4F5CB2"/>
    <w:rsid w:val="5D5C7A80"/>
    <w:rsid w:val="5D6D0F8A"/>
    <w:rsid w:val="5D773862"/>
    <w:rsid w:val="5D7E7207"/>
    <w:rsid w:val="5D8A5BAC"/>
    <w:rsid w:val="5D9011B3"/>
    <w:rsid w:val="5D9C7014"/>
    <w:rsid w:val="5DD93AB7"/>
    <w:rsid w:val="5DEF78BB"/>
    <w:rsid w:val="5E40706E"/>
    <w:rsid w:val="5E421C4D"/>
    <w:rsid w:val="5E451589"/>
    <w:rsid w:val="5E806DB9"/>
    <w:rsid w:val="5EA32ECC"/>
    <w:rsid w:val="5EA53721"/>
    <w:rsid w:val="5EB0605C"/>
    <w:rsid w:val="5EC40406"/>
    <w:rsid w:val="5ECC4F05"/>
    <w:rsid w:val="5EF84D97"/>
    <w:rsid w:val="5F074FDA"/>
    <w:rsid w:val="5F0E6369"/>
    <w:rsid w:val="5F17346F"/>
    <w:rsid w:val="5F182D44"/>
    <w:rsid w:val="5F35264F"/>
    <w:rsid w:val="5F396F19"/>
    <w:rsid w:val="5F41673E"/>
    <w:rsid w:val="5F8178B2"/>
    <w:rsid w:val="5F887EC9"/>
    <w:rsid w:val="5F943190"/>
    <w:rsid w:val="5F974287"/>
    <w:rsid w:val="5F9E149B"/>
    <w:rsid w:val="5FAA5F75"/>
    <w:rsid w:val="5FAB718B"/>
    <w:rsid w:val="5FB64DBE"/>
    <w:rsid w:val="5FB92AD3"/>
    <w:rsid w:val="5FBF5C36"/>
    <w:rsid w:val="5FCA6734"/>
    <w:rsid w:val="5FE377F5"/>
    <w:rsid w:val="5FFA2BA8"/>
    <w:rsid w:val="602816AC"/>
    <w:rsid w:val="602F47E9"/>
    <w:rsid w:val="604364E6"/>
    <w:rsid w:val="604C0766"/>
    <w:rsid w:val="605424A1"/>
    <w:rsid w:val="60615EE7"/>
    <w:rsid w:val="60920112"/>
    <w:rsid w:val="60A07D32"/>
    <w:rsid w:val="60A26D69"/>
    <w:rsid w:val="60A46FF9"/>
    <w:rsid w:val="60AF592A"/>
    <w:rsid w:val="60B151FE"/>
    <w:rsid w:val="60B16A2C"/>
    <w:rsid w:val="60B31FF5"/>
    <w:rsid w:val="60C2565D"/>
    <w:rsid w:val="60C51A2C"/>
    <w:rsid w:val="60DB04CD"/>
    <w:rsid w:val="60FF240D"/>
    <w:rsid w:val="61047A23"/>
    <w:rsid w:val="61077826"/>
    <w:rsid w:val="610E79A4"/>
    <w:rsid w:val="610E7EA6"/>
    <w:rsid w:val="613751C4"/>
    <w:rsid w:val="61761FA3"/>
    <w:rsid w:val="61785D1C"/>
    <w:rsid w:val="618446C0"/>
    <w:rsid w:val="618D5C6B"/>
    <w:rsid w:val="61B01959"/>
    <w:rsid w:val="61E33F36"/>
    <w:rsid w:val="61F45CEA"/>
    <w:rsid w:val="620A72BB"/>
    <w:rsid w:val="621F43E9"/>
    <w:rsid w:val="623B7475"/>
    <w:rsid w:val="623F0D34"/>
    <w:rsid w:val="62487DE4"/>
    <w:rsid w:val="625C5463"/>
    <w:rsid w:val="626F1110"/>
    <w:rsid w:val="627604AD"/>
    <w:rsid w:val="627B1F67"/>
    <w:rsid w:val="628030DA"/>
    <w:rsid w:val="62961CE2"/>
    <w:rsid w:val="62A468BF"/>
    <w:rsid w:val="62A56FE4"/>
    <w:rsid w:val="62A866D0"/>
    <w:rsid w:val="62BD60DC"/>
    <w:rsid w:val="62C7476E"/>
    <w:rsid w:val="62CC020C"/>
    <w:rsid w:val="62CC7726"/>
    <w:rsid w:val="62D41677"/>
    <w:rsid w:val="62EF025F"/>
    <w:rsid w:val="62FC215E"/>
    <w:rsid w:val="63071A4D"/>
    <w:rsid w:val="6309447C"/>
    <w:rsid w:val="630A5A6D"/>
    <w:rsid w:val="631A52DC"/>
    <w:rsid w:val="63414F5F"/>
    <w:rsid w:val="6349639D"/>
    <w:rsid w:val="634C49D0"/>
    <w:rsid w:val="63554A0D"/>
    <w:rsid w:val="636364AC"/>
    <w:rsid w:val="63695DB0"/>
    <w:rsid w:val="63754C08"/>
    <w:rsid w:val="638E68ED"/>
    <w:rsid w:val="63901A42"/>
    <w:rsid w:val="639D09CB"/>
    <w:rsid w:val="63B15515"/>
    <w:rsid w:val="63B87CBA"/>
    <w:rsid w:val="63C60FC0"/>
    <w:rsid w:val="63C65464"/>
    <w:rsid w:val="63D60DF8"/>
    <w:rsid w:val="63DC07E4"/>
    <w:rsid w:val="63F73BD7"/>
    <w:rsid w:val="64055990"/>
    <w:rsid w:val="64340620"/>
    <w:rsid w:val="64410F8F"/>
    <w:rsid w:val="645D2D45"/>
    <w:rsid w:val="646125FE"/>
    <w:rsid w:val="64682077"/>
    <w:rsid w:val="64790728"/>
    <w:rsid w:val="648F5856"/>
    <w:rsid w:val="64972AB8"/>
    <w:rsid w:val="64A227CA"/>
    <w:rsid w:val="64C0225F"/>
    <w:rsid w:val="64C27B3B"/>
    <w:rsid w:val="64DD4813"/>
    <w:rsid w:val="64DF0256"/>
    <w:rsid w:val="65180933"/>
    <w:rsid w:val="65362175"/>
    <w:rsid w:val="65566374"/>
    <w:rsid w:val="655B5AF2"/>
    <w:rsid w:val="65766A16"/>
    <w:rsid w:val="65783F39"/>
    <w:rsid w:val="6578580C"/>
    <w:rsid w:val="657C227E"/>
    <w:rsid w:val="659868BE"/>
    <w:rsid w:val="65B12A00"/>
    <w:rsid w:val="65C77271"/>
    <w:rsid w:val="65D11E9E"/>
    <w:rsid w:val="65D33FEA"/>
    <w:rsid w:val="65DB7500"/>
    <w:rsid w:val="65DC4ACB"/>
    <w:rsid w:val="65DE63E0"/>
    <w:rsid w:val="65DF4740"/>
    <w:rsid w:val="65E676F8"/>
    <w:rsid w:val="65EB7404"/>
    <w:rsid w:val="65ED40B6"/>
    <w:rsid w:val="65F91B21"/>
    <w:rsid w:val="660356CA"/>
    <w:rsid w:val="660F274E"/>
    <w:rsid w:val="66157FDD"/>
    <w:rsid w:val="661E50E3"/>
    <w:rsid w:val="662446C4"/>
    <w:rsid w:val="662E1F6F"/>
    <w:rsid w:val="664B1C51"/>
    <w:rsid w:val="66632F66"/>
    <w:rsid w:val="66650F64"/>
    <w:rsid w:val="666A657B"/>
    <w:rsid w:val="66A37446"/>
    <w:rsid w:val="66A51361"/>
    <w:rsid w:val="66AC1B17"/>
    <w:rsid w:val="66AE2FFF"/>
    <w:rsid w:val="66C8504F"/>
    <w:rsid w:val="66CD08B8"/>
    <w:rsid w:val="66E557FD"/>
    <w:rsid w:val="66F25116"/>
    <w:rsid w:val="670352EA"/>
    <w:rsid w:val="670C7632"/>
    <w:rsid w:val="6727621A"/>
    <w:rsid w:val="673D5A3D"/>
    <w:rsid w:val="67550FD9"/>
    <w:rsid w:val="676B2854"/>
    <w:rsid w:val="67796A82"/>
    <w:rsid w:val="68014955"/>
    <w:rsid w:val="681503E6"/>
    <w:rsid w:val="681A18DB"/>
    <w:rsid w:val="68330BEE"/>
    <w:rsid w:val="68511756"/>
    <w:rsid w:val="68784853"/>
    <w:rsid w:val="68AC43E6"/>
    <w:rsid w:val="68D0468F"/>
    <w:rsid w:val="68E87C2B"/>
    <w:rsid w:val="68F30B42"/>
    <w:rsid w:val="690540BF"/>
    <w:rsid w:val="691B1DAE"/>
    <w:rsid w:val="69233219"/>
    <w:rsid w:val="693D43B7"/>
    <w:rsid w:val="69450BD9"/>
    <w:rsid w:val="69603C65"/>
    <w:rsid w:val="69833F84"/>
    <w:rsid w:val="6994393A"/>
    <w:rsid w:val="69A74FEE"/>
    <w:rsid w:val="69AF73BD"/>
    <w:rsid w:val="69B144C0"/>
    <w:rsid w:val="69B813AB"/>
    <w:rsid w:val="69C340F2"/>
    <w:rsid w:val="69C441F4"/>
    <w:rsid w:val="6A1F55DC"/>
    <w:rsid w:val="6A274783"/>
    <w:rsid w:val="6A2D526C"/>
    <w:rsid w:val="6A3A2708"/>
    <w:rsid w:val="6A4021D8"/>
    <w:rsid w:val="6A600577"/>
    <w:rsid w:val="6A7774B8"/>
    <w:rsid w:val="6AA13260"/>
    <w:rsid w:val="6AA16168"/>
    <w:rsid w:val="6ABE0C43"/>
    <w:rsid w:val="6ACB7804"/>
    <w:rsid w:val="6AD541DF"/>
    <w:rsid w:val="6B0A20DA"/>
    <w:rsid w:val="6B767770"/>
    <w:rsid w:val="6B8359E9"/>
    <w:rsid w:val="6B9D4CFC"/>
    <w:rsid w:val="6BBA3B00"/>
    <w:rsid w:val="6BBB2524"/>
    <w:rsid w:val="6BBF5037"/>
    <w:rsid w:val="6BCE4EB6"/>
    <w:rsid w:val="6BE02E3B"/>
    <w:rsid w:val="6BE34B04"/>
    <w:rsid w:val="6BF608B1"/>
    <w:rsid w:val="6C0E5BFA"/>
    <w:rsid w:val="6C2076DB"/>
    <w:rsid w:val="6C3223B4"/>
    <w:rsid w:val="6C3525CB"/>
    <w:rsid w:val="6C3F7B62"/>
    <w:rsid w:val="6C4909E0"/>
    <w:rsid w:val="6C496C32"/>
    <w:rsid w:val="6C4C04D0"/>
    <w:rsid w:val="6C54385C"/>
    <w:rsid w:val="6C5C4BB7"/>
    <w:rsid w:val="6C5F1FB2"/>
    <w:rsid w:val="6C690749"/>
    <w:rsid w:val="6C7E559F"/>
    <w:rsid w:val="6C87555A"/>
    <w:rsid w:val="6C952FB6"/>
    <w:rsid w:val="6CD209D6"/>
    <w:rsid w:val="6CD609CA"/>
    <w:rsid w:val="6CE122CE"/>
    <w:rsid w:val="6CF7668E"/>
    <w:rsid w:val="6D107750"/>
    <w:rsid w:val="6D321474"/>
    <w:rsid w:val="6D3B2A1F"/>
    <w:rsid w:val="6D83283D"/>
    <w:rsid w:val="6D8A5754"/>
    <w:rsid w:val="6DB06FF1"/>
    <w:rsid w:val="6DE377D1"/>
    <w:rsid w:val="6DF8036A"/>
    <w:rsid w:val="6DFB5D0A"/>
    <w:rsid w:val="6E267CF8"/>
    <w:rsid w:val="6E8D6DF3"/>
    <w:rsid w:val="6E90674D"/>
    <w:rsid w:val="6E9B7B17"/>
    <w:rsid w:val="6EA6211A"/>
    <w:rsid w:val="6EC16F54"/>
    <w:rsid w:val="6EC86534"/>
    <w:rsid w:val="6ECC4E9C"/>
    <w:rsid w:val="6ECF6B20"/>
    <w:rsid w:val="6EE6461A"/>
    <w:rsid w:val="6EFF1A27"/>
    <w:rsid w:val="6F0155A2"/>
    <w:rsid w:val="6F1C779D"/>
    <w:rsid w:val="6F2F210F"/>
    <w:rsid w:val="6F3E040D"/>
    <w:rsid w:val="6F771D08"/>
    <w:rsid w:val="6F7E141F"/>
    <w:rsid w:val="6FA81EC2"/>
    <w:rsid w:val="6FF15617"/>
    <w:rsid w:val="6FFD4727"/>
    <w:rsid w:val="70117A67"/>
    <w:rsid w:val="70291255"/>
    <w:rsid w:val="702E6950"/>
    <w:rsid w:val="708104E7"/>
    <w:rsid w:val="708E3A71"/>
    <w:rsid w:val="70920657"/>
    <w:rsid w:val="709C24CA"/>
    <w:rsid w:val="70AE175A"/>
    <w:rsid w:val="70C4708B"/>
    <w:rsid w:val="70C66AA3"/>
    <w:rsid w:val="70CC1BE0"/>
    <w:rsid w:val="711C4915"/>
    <w:rsid w:val="71297032"/>
    <w:rsid w:val="71312E46"/>
    <w:rsid w:val="714479C8"/>
    <w:rsid w:val="7157594D"/>
    <w:rsid w:val="715B116D"/>
    <w:rsid w:val="715F4802"/>
    <w:rsid w:val="71614A1E"/>
    <w:rsid w:val="71763E02"/>
    <w:rsid w:val="71812380"/>
    <w:rsid w:val="7189187F"/>
    <w:rsid w:val="718F158B"/>
    <w:rsid w:val="71963B10"/>
    <w:rsid w:val="719C388E"/>
    <w:rsid w:val="71BE3C1E"/>
    <w:rsid w:val="71CD3E62"/>
    <w:rsid w:val="71EC42E8"/>
    <w:rsid w:val="72121874"/>
    <w:rsid w:val="72225F5B"/>
    <w:rsid w:val="72270127"/>
    <w:rsid w:val="72273572"/>
    <w:rsid w:val="72655E48"/>
    <w:rsid w:val="727D5888"/>
    <w:rsid w:val="7295497F"/>
    <w:rsid w:val="72962B27"/>
    <w:rsid w:val="729A5611"/>
    <w:rsid w:val="72A03324"/>
    <w:rsid w:val="72AB6D5F"/>
    <w:rsid w:val="72B2004F"/>
    <w:rsid w:val="72B34E05"/>
    <w:rsid w:val="72C60FDD"/>
    <w:rsid w:val="7309711B"/>
    <w:rsid w:val="730F23CF"/>
    <w:rsid w:val="73247A12"/>
    <w:rsid w:val="732D4F74"/>
    <w:rsid w:val="732D5549"/>
    <w:rsid w:val="73337CF4"/>
    <w:rsid w:val="733A72D5"/>
    <w:rsid w:val="734A6E8D"/>
    <w:rsid w:val="735E679E"/>
    <w:rsid w:val="737A14CF"/>
    <w:rsid w:val="738911A2"/>
    <w:rsid w:val="73DA4614"/>
    <w:rsid w:val="73ED07EB"/>
    <w:rsid w:val="742C30C1"/>
    <w:rsid w:val="743240F2"/>
    <w:rsid w:val="74471CA9"/>
    <w:rsid w:val="747D1765"/>
    <w:rsid w:val="74811B8F"/>
    <w:rsid w:val="74856371"/>
    <w:rsid w:val="74940C67"/>
    <w:rsid w:val="74B15375"/>
    <w:rsid w:val="74B75CE7"/>
    <w:rsid w:val="74BD1F6B"/>
    <w:rsid w:val="74C01C92"/>
    <w:rsid w:val="74D51E3C"/>
    <w:rsid w:val="74DC7F97"/>
    <w:rsid w:val="75114065"/>
    <w:rsid w:val="75461F61"/>
    <w:rsid w:val="75466405"/>
    <w:rsid w:val="754D5C67"/>
    <w:rsid w:val="755C3532"/>
    <w:rsid w:val="758B3E18"/>
    <w:rsid w:val="75982C83"/>
    <w:rsid w:val="759A405B"/>
    <w:rsid w:val="75B136A4"/>
    <w:rsid w:val="75B55338"/>
    <w:rsid w:val="75CC2672"/>
    <w:rsid w:val="75CD0053"/>
    <w:rsid w:val="75DB213B"/>
    <w:rsid w:val="75E8126A"/>
    <w:rsid w:val="761152BC"/>
    <w:rsid w:val="761644D8"/>
    <w:rsid w:val="76215F9C"/>
    <w:rsid w:val="76283D5C"/>
    <w:rsid w:val="762B1026"/>
    <w:rsid w:val="762B73A9"/>
    <w:rsid w:val="76346CE5"/>
    <w:rsid w:val="76515061"/>
    <w:rsid w:val="765B7164"/>
    <w:rsid w:val="766034F6"/>
    <w:rsid w:val="76893B88"/>
    <w:rsid w:val="77122E6F"/>
    <w:rsid w:val="7735228D"/>
    <w:rsid w:val="773A5AF5"/>
    <w:rsid w:val="773D55E5"/>
    <w:rsid w:val="77514BED"/>
    <w:rsid w:val="7758241F"/>
    <w:rsid w:val="775F34D3"/>
    <w:rsid w:val="776204D1"/>
    <w:rsid w:val="77626DFA"/>
    <w:rsid w:val="777259B2"/>
    <w:rsid w:val="777A2396"/>
    <w:rsid w:val="77846D70"/>
    <w:rsid w:val="77975BED"/>
    <w:rsid w:val="779C230C"/>
    <w:rsid w:val="77BC475C"/>
    <w:rsid w:val="77BF249E"/>
    <w:rsid w:val="77C90C27"/>
    <w:rsid w:val="77D93560"/>
    <w:rsid w:val="77DF669D"/>
    <w:rsid w:val="77E963B5"/>
    <w:rsid w:val="781D72B5"/>
    <w:rsid w:val="78393FFF"/>
    <w:rsid w:val="784B788E"/>
    <w:rsid w:val="78615304"/>
    <w:rsid w:val="78663C24"/>
    <w:rsid w:val="78A551F0"/>
    <w:rsid w:val="78B85E24"/>
    <w:rsid w:val="78F02670"/>
    <w:rsid w:val="79134850"/>
    <w:rsid w:val="791F31F5"/>
    <w:rsid w:val="79231CC3"/>
    <w:rsid w:val="792A1B99"/>
    <w:rsid w:val="793C6D8A"/>
    <w:rsid w:val="79407A62"/>
    <w:rsid w:val="794669D3"/>
    <w:rsid w:val="794B1A7D"/>
    <w:rsid w:val="794D2D86"/>
    <w:rsid w:val="7962698E"/>
    <w:rsid w:val="79974DFF"/>
    <w:rsid w:val="79AB4A88"/>
    <w:rsid w:val="79BF322E"/>
    <w:rsid w:val="79C8388C"/>
    <w:rsid w:val="79D57D57"/>
    <w:rsid w:val="79F426E3"/>
    <w:rsid w:val="7A036672"/>
    <w:rsid w:val="7A0917AF"/>
    <w:rsid w:val="7A1253F6"/>
    <w:rsid w:val="7A127A2E"/>
    <w:rsid w:val="7A1C7734"/>
    <w:rsid w:val="7A431165"/>
    <w:rsid w:val="7A4F18B8"/>
    <w:rsid w:val="7A642FEE"/>
    <w:rsid w:val="7A770E0E"/>
    <w:rsid w:val="7A9C0875"/>
    <w:rsid w:val="7AAC160F"/>
    <w:rsid w:val="7ABC51E6"/>
    <w:rsid w:val="7AC34054"/>
    <w:rsid w:val="7AD46261"/>
    <w:rsid w:val="7AD85D51"/>
    <w:rsid w:val="7AFE1296"/>
    <w:rsid w:val="7B022DCE"/>
    <w:rsid w:val="7B072192"/>
    <w:rsid w:val="7B0F54EB"/>
    <w:rsid w:val="7B114B8C"/>
    <w:rsid w:val="7B30793B"/>
    <w:rsid w:val="7B3D1CC7"/>
    <w:rsid w:val="7B46684D"/>
    <w:rsid w:val="7B4A207F"/>
    <w:rsid w:val="7B586F7C"/>
    <w:rsid w:val="7B593278"/>
    <w:rsid w:val="7B610DB2"/>
    <w:rsid w:val="7B71585E"/>
    <w:rsid w:val="7B783090"/>
    <w:rsid w:val="7B8D37DB"/>
    <w:rsid w:val="7B901215"/>
    <w:rsid w:val="7B9463F7"/>
    <w:rsid w:val="7B95779E"/>
    <w:rsid w:val="7BB302F8"/>
    <w:rsid w:val="7BB51BEE"/>
    <w:rsid w:val="7BB75A6B"/>
    <w:rsid w:val="7BCC60C5"/>
    <w:rsid w:val="7BCC6F38"/>
    <w:rsid w:val="7BCF1B7E"/>
    <w:rsid w:val="7BE67FFA"/>
    <w:rsid w:val="7BF22D26"/>
    <w:rsid w:val="7BFA2069"/>
    <w:rsid w:val="7BFA5853"/>
    <w:rsid w:val="7C0D1A2A"/>
    <w:rsid w:val="7C217284"/>
    <w:rsid w:val="7C2B1EB0"/>
    <w:rsid w:val="7C3C40BE"/>
    <w:rsid w:val="7C6929D9"/>
    <w:rsid w:val="7C704248"/>
    <w:rsid w:val="7C7623EE"/>
    <w:rsid w:val="7C773348"/>
    <w:rsid w:val="7C8141C6"/>
    <w:rsid w:val="7C8B294F"/>
    <w:rsid w:val="7CA67C6C"/>
    <w:rsid w:val="7CB93960"/>
    <w:rsid w:val="7CC61BD9"/>
    <w:rsid w:val="7CE131F6"/>
    <w:rsid w:val="7CF528A5"/>
    <w:rsid w:val="7D0E21AB"/>
    <w:rsid w:val="7D127336"/>
    <w:rsid w:val="7D20753B"/>
    <w:rsid w:val="7D250FF6"/>
    <w:rsid w:val="7D3354C1"/>
    <w:rsid w:val="7D504DD1"/>
    <w:rsid w:val="7D5316BF"/>
    <w:rsid w:val="7D6A3EE0"/>
    <w:rsid w:val="7D6A6067"/>
    <w:rsid w:val="7D7358BD"/>
    <w:rsid w:val="7D7E4262"/>
    <w:rsid w:val="7D935F5F"/>
    <w:rsid w:val="7DB67EA0"/>
    <w:rsid w:val="7DC425BD"/>
    <w:rsid w:val="7DE646F8"/>
    <w:rsid w:val="7DFA4230"/>
    <w:rsid w:val="7E110A07"/>
    <w:rsid w:val="7E16780F"/>
    <w:rsid w:val="7E745D91"/>
    <w:rsid w:val="7E7A49CB"/>
    <w:rsid w:val="7E915EB0"/>
    <w:rsid w:val="7E9A331D"/>
    <w:rsid w:val="7EAD3051"/>
    <w:rsid w:val="7EBF5EC4"/>
    <w:rsid w:val="7ECD724F"/>
    <w:rsid w:val="7EEE3597"/>
    <w:rsid w:val="7F052E8D"/>
    <w:rsid w:val="7F0A3FFF"/>
    <w:rsid w:val="7F231011"/>
    <w:rsid w:val="7F403EC5"/>
    <w:rsid w:val="7F6536D6"/>
    <w:rsid w:val="7F743B6E"/>
    <w:rsid w:val="7F780DE1"/>
    <w:rsid w:val="7F820039"/>
    <w:rsid w:val="7F842003"/>
    <w:rsid w:val="7F961D37"/>
    <w:rsid w:val="7FC27E58"/>
    <w:rsid w:val="7FC70142"/>
    <w:rsid w:val="7FCE14D1"/>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4">
    <w:name w:val="heading 1"/>
    <w:basedOn w:val="1"/>
    <w:next w:val="1"/>
    <w:link w:val="65"/>
    <w:qFormat/>
    <w:uiPriority w:val="0"/>
    <w:pPr>
      <w:keepNext/>
      <w:keepLines/>
      <w:spacing w:before="340" w:after="330" w:line="578" w:lineRule="auto"/>
      <w:outlineLvl w:val="0"/>
    </w:pPr>
    <w:rPr>
      <w:b/>
      <w:kern w:val="44"/>
      <w:sz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6">
    <w:name w:val="heading 3"/>
    <w:basedOn w:val="1"/>
    <w:next w:val="1"/>
    <w:qFormat/>
    <w:uiPriority w:val="0"/>
    <w:pPr>
      <w:keepNext/>
      <w:keepLines/>
      <w:spacing w:before="260" w:after="260" w:line="416" w:lineRule="auto"/>
      <w:outlineLvl w:val="2"/>
    </w:pPr>
    <w:rPr>
      <w:b/>
      <w:sz w:val="32"/>
    </w:rPr>
  </w:style>
  <w:style w:type="paragraph" w:styleId="7">
    <w:name w:val="heading 4"/>
    <w:basedOn w:val="1"/>
    <w:next w:val="8"/>
    <w:qFormat/>
    <w:uiPriority w:val="0"/>
    <w:pPr>
      <w:keepNext/>
      <w:spacing w:line="460" w:lineRule="exact"/>
      <w:jc w:val="both"/>
      <w:outlineLvl w:val="3"/>
    </w:pPr>
    <w:rPr>
      <w:rFonts w:ascii="宋体"/>
      <w:sz w:val="24"/>
    </w:rPr>
  </w:style>
  <w:style w:type="paragraph" w:styleId="9">
    <w:name w:val="heading 5"/>
    <w:basedOn w:val="1"/>
    <w:next w:val="8"/>
    <w:qFormat/>
    <w:uiPriority w:val="0"/>
    <w:pPr>
      <w:keepNext/>
      <w:keepLines/>
      <w:widowControl w:val="0"/>
      <w:spacing w:before="280" w:after="290" w:line="376" w:lineRule="auto"/>
      <w:jc w:val="both"/>
      <w:outlineLvl w:val="4"/>
    </w:pPr>
    <w:rPr>
      <w:b/>
      <w:kern w:val="2"/>
      <w:sz w:val="24"/>
    </w:rPr>
  </w:style>
  <w:style w:type="paragraph" w:styleId="10">
    <w:name w:val="heading 6"/>
    <w:basedOn w:val="1"/>
    <w:next w:val="8"/>
    <w:qFormat/>
    <w:uiPriority w:val="0"/>
    <w:pPr>
      <w:keepNext/>
      <w:keepLines/>
      <w:widowControl w:val="0"/>
      <w:tabs>
        <w:tab w:val="left" w:pos="360"/>
      </w:tabs>
      <w:spacing w:before="240" w:after="64" w:line="320" w:lineRule="auto"/>
      <w:ind w:left="360" w:hanging="360"/>
      <w:jc w:val="both"/>
      <w:outlineLvl w:val="5"/>
    </w:pPr>
    <w:rPr>
      <w:rFonts w:ascii="Arial" w:hAnsi="Arial" w:eastAsia="黑体"/>
      <w:b/>
      <w:kern w:val="2"/>
      <w:sz w:val="24"/>
    </w:rPr>
  </w:style>
  <w:style w:type="paragraph" w:styleId="11">
    <w:name w:val="heading 7"/>
    <w:basedOn w:val="1"/>
    <w:next w:val="8"/>
    <w:qFormat/>
    <w:uiPriority w:val="0"/>
    <w:pPr>
      <w:keepNext/>
      <w:keepLines/>
      <w:widowControl w:val="0"/>
      <w:tabs>
        <w:tab w:val="left" w:pos="360"/>
      </w:tabs>
      <w:spacing w:before="240" w:after="64" w:line="320" w:lineRule="auto"/>
      <w:ind w:left="360" w:hanging="360"/>
      <w:jc w:val="both"/>
      <w:outlineLvl w:val="6"/>
    </w:pPr>
    <w:rPr>
      <w:b/>
      <w:kern w:val="2"/>
      <w:sz w:val="24"/>
    </w:rPr>
  </w:style>
  <w:style w:type="paragraph" w:styleId="12">
    <w:name w:val="heading 8"/>
    <w:basedOn w:val="1"/>
    <w:next w:val="8"/>
    <w:qFormat/>
    <w:uiPriority w:val="0"/>
    <w:pPr>
      <w:keepNext/>
      <w:keepLines/>
      <w:widowControl w:val="0"/>
      <w:tabs>
        <w:tab w:val="left" w:pos="360"/>
      </w:tabs>
      <w:spacing w:before="240" w:after="64" w:line="320" w:lineRule="auto"/>
      <w:ind w:left="360" w:hanging="360"/>
      <w:jc w:val="both"/>
      <w:outlineLvl w:val="7"/>
    </w:pPr>
    <w:rPr>
      <w:rFonts w:ascii="Arial" w:hAnsi="Arial" w:eastAsia="黑体"/>
      <w:kern w:val="2"/>
      <w:sz w:val="24"/>
    </w:rPr>
  </w:style>
  <w:style w:type="paragraph" w:styleId="13">
    <w:name w:val="heading 9"/>
    <w:basedOn w:val="1"/>
    <w:next w:val="8"/>
    <w:qFormat/>
    <w:uiPriority w:val="0"/>
    <w:pPr>
      <w:keepNext/>
      <w:keepLines/>
      <w:widowControl w:val="0"/>
      <w:tabs>
        <w:tab w:val="left" w:pos="360"/>
      </w:tabs>
      <w:spacing w:before="240" w:after="64" w:line="320" w:lineRule="auto"/>
      <w:ind w:left="360" w:hanging="360"/>
      <w:jc w:val="both"/>
      <w:outlineLvl w:val="8"/>
    </w:pPr>
    <w:rPr>
      <w:rFonts w:ascii="Arial" w:hAnsi="Arial" w:eastAsia="黑体"/>
      <w:kern w:val="2"/>
      <w:sz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0"/>
    <w:pPr>
      <w:adjustRightInd w:val="0"/>
      <w:spacing w:line="420" w:lineRule="atLeast"/>
      <w:jc w:val="left"/>
      <w:textAlignment w:val="baseline"/>
    </w:pPr>
    <w:rPr>
      <w:kern w:val="0"/>
      <w:szCs w:val="20"/>
    </w:rPr>
  </w:style>
  <w:style w:type="paragraph" w:styleId="3">
    <w:name w:val="Body Text"/>
    <w:basedOn w:val="1"/>
    <w:link w:val="74"/>
    <w:qFormat/>
    <w:uiPriority w:val="0"/>
    <w:pPr>
      <w:spacing w:after="120"/>
    </w:pPr>
  </w:style>
  <w:style w:type="paragraph" w:styleId="8">
    <w:name w:val="Normal Indent"/>
    <w:basedOn w:val="1"/>
    <w:qFormat/>
    <w:uiPriority w:val="0"/>
    <w:pPr>
      <w:ind w:firstLine="420"/>
    </w:pPr>
  </w:style>
  <w:style w:type="paragraph" w:styleId="14">
    <w:name w:val="toc 7"/>
    <w:basedOn w:val="1"/>
    <w:next w:val="1"/>
    <w:qFormat/>
    <w:uiPriority w:val="0"/>
    <w:pPr>
      <w:ind w:left="1200"/>
    </w:pPr>
    <w:rPr>
      <w:rFonts w:ascii="Calibri" w:hAnsi="Calibri" w:cs="Calibri"/>
      <w:sz w:val="18"/>
      <w:szCs w:val="18"/>
    </w:rPr>
  </w:style>
  <w:style w:type="paragraph" w:styleId="15">
    <w:name w:val="Document Map"/>
    <w:basedOn w:val="1"/>
    <w:semiHidden/>
    <w:qFormat/>
    <w:uiPriority w:val="0"/>
    <w:pPr>
      <w:shd w:val="clear" w:color="auto" w:fill="000080"/>
    </w:pPr>
  </w:style>
  <w:style w:type="paragraph" w:styleId="16">
    <w:name w:val="annotation text"/>
    <w:basedOn w:val="1"/>
    <w:link w:val="139"/>
    <w:semiHidden/>
    <w:qFormat/>
    <w:uiPriority w:val="0"/>
  </w:style>
  <w:style w:type="paragraph" w:styleId="17">
    <w:name w:val="Body Text 3"/>
    <w:basedOn w:val="1"/>
    <w:qFormat/>
    <w:uiPriority w:val="0"/>
    <w:pPr>
      <w:spacing w:after="120"/>
    </w:pPr>
    <w:rPr>
      <w:sz w:val="16"/>
      <w:szCs w:val="16"/>
    </w:rPr>
  </w:style>
  <w:style w:type="paragraph" w:styleId="18">
    <w:name w:val="Body Text Indent"/>
    <w:basedOn w:val="1"/>
    <w:qFormat/>
    <w:uiPriority w:val="0"/>
    <w:pPr>
      <w:spacing w:after="120"/>
      <w:ind w:left="420" w:leftChars="200"/>
    </w:pPr>
  </w:style>
  <w:style w:type="paragraph" w:styleId="19">
    <w:name w:val="List 2"/>
    <w:basedOn w:val="1"/>
    <w:qFormat/>
    <w:uiPriority w:val="0"/>
    <w:pPr>
      <w:widowControl w:val="0"/>
      <w:adjustRightInd w:val="0"/>
      <w:spacing w:line="360" w:lineRule="auto"/>
      <w:jc w:val="both"/>
      <w:textAlignment w:val="baseline"/>
    </w:pPr>
    <w:rPr>
      <w:sz w:val="24"/>
    </w:rPr>
  </w:style>
  <w:style w:type="paragraph" w:styleId="20">
    <w:name w:val="Block Text"/>
    <w:basedOn w:val="1"/>
    <w:qFormat/>
    <w:uiPriority w:val="0"/>
    <w:pPr>
      <w:widowControl w:val="0"/>
      <w:ind w:left="1155" w:right="40" w:rightChars="19"/>
      <w:jc w:val="both"/>
    </w:pPr>
    <w:rPr>
      <w:kern w:val="2"/>
      <w:sz w:val="21"/>
      <w:szCs w:val="24"/>
    </w:rPr>
  </w:style>
  <w:style w:type="paragraph" w:styleId="21">
    <w:name w:val="toc 5"/>
    <w:basedOn w:val="1"/>
    <w:next w:val="1"/>
    <w:qFormat/>
    <w:uiPriority w:val="0"/>
    <w:pPr>
      <w:ind w:left="800"/>
    </w:pPr>
    <w:rPr>
      <w:rFonts w:ascii="Calibri" w:hAnsi="Calibri" w:cs="Calibri"/>
      <w:sz w:val="18"/>
      <w:szCs w:val="18"/>
    </w:rPr>
  </w:style>
  <w:style w:type="paragraph" w:styleId="22">
    <w:name w:val="toc 3"/>
    <w:basedOn w:val="1"/>
    <w:next w:val="1"/>
    <w:semiHidden/>
    <w:qFormat/>
    <w:uiPriority w:val="0"/>
    <w:pPr>
      <w:ind w:left="400"/>
    </w:pPr>
    <w:rPr>
      <w:rFonts w:ascii="Calibri" w:hAnsi="Calibri" w:cs="Calibri"/>
      <w:i/>
      <w:iCs/>
    </w:rPr>
  </w:style>
  <w:style w:type="paragraph" w:styleId="23">
    <w:name w:val="Plain Text"/>
    <w:basedOn w:val="1"/>
    <w:link w:val="75"/>
    <w:qFormat/>
    <w:uiPriority w:val="0"/>
    <w:rPr>
      <w:rFonts w:ascii="宋体" w:hAnsi="Courier New" w:cs="Century"/>
      <w:sz w:val="21"/>
      <w:szCs w:val="21"/>
    </w:rPr>
  </w:style>
  <w:style w:type="paragraph" w:styleId="24">
    <w:name w:val="toc 8"/>
    <w:basedOn w:val="1"/>
    <w:next w:val="1"/>
    <w:qFormat/>
    <w:uiPriority w:val="0"/>
    <w:pPr>
      <w:ind w:left="1400"/>
    </w:pPr>
    <w:rPr>
      <w:rFonts w:ascii="Calibri" w:hAnsi="Calibri" w:cs="Calibri"/>
      <w:sz w:val="18"/>
      <w:szCs w:val="18"/>
    </w:rPr>
  </w:style>
  <w:style w:type="paragraph" w:styleId="25">
    <w:name w:val="Date"/>
    <w:basedOn w:val="1"/>
    <w:next w:val="1"/>
    <w:link w:val="72"/>
    <w:qFormat/>
    <w:uiPriority w:val="0"/>
    <w:pPr>
      <w:jc w:val="both"/>
    </w:pPr>
    <w:rPr>
      <w:rFonts w:ascii="宋体"/>
      <w:sz w:val="24"/>
    </w:rPr>
  </w:style>
  <w:style w:type="paragraph" w:styleId="26">
    <w:name w:val="Body Text Indent 2"/>
    <w:basedOn w:val="1"/>
    <w:qFormat/>
    <w:uiPriority w:val="0"/>
    <w:pPr>
      <w:spacing w:after="120" w:line="480" w:lineRule="auto"/>
      <w:ind w:left="420" w:leftChars="200"/>
    </w:pPr>
  </w:style>
  <w:style w:type="paragraph" w:styleId="27">
    <w:name w:val="Balloon Text"/>
    <w:basedOn w:val="1"/>
    <w:semiHidden/>
    <w:qFormat/>
    <w:uiPriority w:val="0"/>
    <w:rPr>
      <w:sz w:val="18"/>
      <w:szCs w:val="18"/>
    </w:rPr>
  </w:style>
  <w:style w:type="paragraph" w:styleId="28">
    <w:name w:val="footer"/>
    <w:basedOn w:val="1"/>
    <w:qFormat/>
    <w:uiPriority w:val="99"/>
    <w:pPr>
      <w:tabs>
        <w:tab w:val="center" w:pos="4153"/>
        <w:tab w:val="right" w:pos="8306"/>
      </w:tabs>
      <w:snapToGrid w:val="0"/>
    </w:pPr>
    <w:rPr>
      <w:sz w:val="18"/>
    </w:rPr>
  </w:style>
  <w:style w:type="paragraph" w:styleId="29">
    <w:name w:val="header"/>
    <w:basedOn w:val="1"/>
    <w:link w:val="83"/>
    <w:qFormat/>
    <w:uiPriority w:val="99"/>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39"/>
    <w:pPr>
      <w:spacing w:before="120" w:after="120"/>
    </w:pPr>
    <w:rPr>
      <w:rFonts w:ascii="Calibri" w:hAnsi="Calibri" w:cs="Calibri"/>
      <w:b/>
      <w:bCs/>
      <w:caps/>
    </w:rPr>
  </w:style>
  <w:style w:type="paragraph" w:styleId="31">
    <w:name w:val="toc 4"/>
    <w:basedOn w:val="1"/>
    <w:next w:val="1"/>
    <w:qFormat/>
    <w:uiPriority w:val="0"/>
    <w:pPr>
      <w:ind w:left="600"/>
    </w:pPr>
    <w:rPr>
      <w:rFonts w:ascii="Calibri" w:hAnsi="Calibri" w:cs="Calibri"/>
      <w:sz w:val="18"/>
      <w:szCs w:val="18"/>
    </w:rPr>
  </w:style>
  <w:style w:type="paragraph" w:styleId="32">
    <w:name w:val="List"/>
    <w:basedOn w:val="1"/>
    <w:qFormat/>
    <w:uiPriority w:val="0"/>
    <w:pPr>
      <w:widowControl w:val="0"/>
      <w:adjustRightInd w:val="0"/>
      <w:spacing w:line="360" w:lineRule="auto"/>
      <w:jc w:val="both"/>
      <w:textAlignment w:val="baseline"/>
    </w:pPr>
    <w:rPr>
      <w:sz w:val="24"/>
    </w:rPr>
  </w:style>
  <w:style w:type="paragraph" w:styleId="33">
    <w:name w:val="toc 6"/>
    <w:basedOn w:val="1"/>
    <w:next w:val="1"/>
    <w:qFormat/>
    <w:uiPriority w:val="0"/>
    <w:pPr>
      <w:ind w:left="1000"/>
    </w:pPr>
    <w:rPr>
      <w:rFonts w:ascii="Calibri" w:hAnsi="Calibri" w:cs="Calibri"/>
      <w:sz w:val="18"/>
      <w:szCs w:val="18"/>
    </w:rPr>
  </w:style>
  <w:style w:type="paragraph" w:styleId="34">
    <w:name w:val="Body Text Indent 3"/>
    <w:basedOn w:val="1"/>
    <w:qFormat/>
    <w:uiPriority w:val="0"/>
    <w:pPr>
      <w:spacing w:after="120"/>
      <w:ind w:left="420" w:leftChars="200"/>
    </w:pPr>
    <w:rPr>
      <w:sz w:val="16"/>
      <w:szCs w:val="16"/>
    </w:rPr>
  </w:style>
  <w:style w:type="paragraph" w:styleId="35">
    <w:name w:val="toc 2"/>
    <w:basedOn w:val="1"/>
    <w:next w:val="1"/>
    <w:qFormat/>
    <w:uiPriority w:val="39"/>
    <w:pPr>
      <w:ind w:left="200"/>
    </w:pPr>
    <w:rPr>
      <w:rFonts w:ascii="Calibri" w:hAnsi="Calibri" w:cs="Calibri"/>
      <w:smallCaps/>
    </w:rPr>
  </w:style>
  <w:style w:type="paragraph" w:styleId="36">
    <w:name w:val="toc 9"/>
    <w:basedOn w:val="1"/>
    <w:next w:val="1"/>
    <w:qFormat/>
    <w:uiPriority w:val="0"/>
    <w:pPr>
      <w:ind w:left="1600"/>
    </w:pPr>
    <w:rPr>
      <w:rFonts w:ascii="Calibri" w:hAnsi="Calibri" w:cs="Calibri"/>
      <w:sz w:val="18"/>
      <w:szCs w:val="18"/>
    </w:rPr>
  </w:style>
  <w:style w:type="paragraph" w:styleId="37">
    <w:name w:val="Body Text 2"/>
    <w:basedOn w:val="1"/>
    <w:qFormat/>
    <w:uiPriority w:val="0"/>
    <w:pPr>
      <w:spacing w:after="120" w:line="480" w:lineRule="auto"/>
    </w:pPr>
  </w:style>
  <w:style w:type="paragraph" w:styleId="38">
    <w:name w:val="Message Header"/>
    <w:basedOn w:val="1"/>
    <w:qFormat/>
    <w:uiPriority w:val="0"/>
    <w:pPr>
      <w:widowControl w:val="0"/>
      <w:pBdr>
        <w:top w:val="single" w:color="auto" w:sz="6" w:space="1"/>
        <w:left w:val="single" w:color="auto" w:sz="6" w:space="1"/>
        <w:bottom w:val="single" w:color="auto" w:sz="6" w:space="1"/>
        <w:right w:val="single" w:color="auto" w:sz="6" w:space="1"/>
      </w:pBdr>
      <w:shd w:val="pct20" w:color="auto" w:fill="auto"/>
      <w:tabs>
        <w:tab w:val="left" w:pos="738"/>
      </w:tabs>
      <w:ind w:left="1080" w:leftChars="500" w:hanging="1080" w:hangingChars="500"/>
      <w:jc w:val="both"/>
    </w:pPr>
    <w:rPr>
      <w:rFonts w:ascii="Arial" w:hAnsi="Arial" w:cs="Arial"/>
      <w:kern w:val="2"/>
      <w:sz w:val="24"/>
      <w:szCs w:val="24"/>
    </w:rPr>
  </w:style>
  <w:style w:type="paragraph" w:styleId="39">
    <w:name w:val="Normal (Web)"/>
    <w:basedOn w:val="1"/>
    <w:qFormat/>
    <w:uiPriority w:val="0"/>
    <w:rPr>
      <w:sz w:val="24"/>
      <w:szCs w:val="24"/>
    </w:rPr>
  </w:style>
  <w:style w:type="paragraph" w:styleId="40">
    <w:name w:val="index 1"/>
    <w:basedOn w:val="1"/>
    <w:next w:val="1"/>
    <w:semiHidden/>
    <w:qFormat/>
    <w:uiPriority w:val="0"/>
  </w:style>
  <w:style w:type="paragraph" w:styleId="41">
    <w:name w:val="Title"/>
    <w:basedOn w:val="1"/>
    <w:next w:val="1"/>
    <w:qFormat/>
    <w:uiPriority w:val="10"/>
    <w:pPr>
      <w:widowControl w:val="0"/>
      <w:tabs>
        <w:tab w:val="left" w:pos="738"/>
      </w:tabs>
      <w:spacing w:before="240" w:after="60"/>
      <w:ind w:left="738" w:hanging="454"/>
      <w:jc w:val="center"/>
      <w:outlineLvl w:val="0"/>
    </w:pPr>
    <w:rPr>
      <w:rFonts w:ascii="Arial" w:hAnsi="Arial" w:cs="Arial"/>
      <w:b/>
      <w:bCs/>
      <w:kern w:val="2"/>
      <w:sz w:val="32"/>
      <w:szCs w:val="32"/>
    </w:rPr>
  </w:style>
  <w:style w:type="paragraph" w:styleId="42">
    <w:name w:val="annotation subject"/>
    <w:basedOn w:val="16"/>
    <w:next w:val="16"/>
    <w:link w:val="140"/>
    <w:semiHidden/>
    <w:unhideWhenUsed/>
    <w:qFormat/>
    <w:uiPriority w:val="0"/>
    <w:rPr>
      <w:b/>
      <w:bCs/>
    </w:rPr>
  </w:style>
  <w:style w:type="paragraph" w:styleId="43">
    <w:name w:val="Body Text First Indent"/>
    <w:basedOn w:val="3"/>
    <w:qFormat/>
    <w:uiPriority w:val="0"/>
    <w:pPr>
      <w:widowControl w:val="0"/>
      <w:adjustRightInd w:val="0"/>
      <w:spacing w:after="0" w:line="312" w:lineRule="auto"/>
      <w:ind w:firstLine="567"/>
      <w:jc w:val="both"/>
      <w:textAlignment w:val="baseline"/>
    </w:pPr>
    <w:rPr>
      <w:sz w:val="28"/>
    </w:rPr>
  </w:style>
  <w:style w:type="paragraph" w:styleId="44">
    <w:name w:val="Body Text First Indent 2"/>
    <w:basedOn w:val="18"/>
    <w:next w:val="1"/>
    <w:qFormat/>
    <w:uiPriority w:val="0"/>
    <w:pPr>
      <w:tabs>
        <w:tab w:val="left" w:pos="360"/>
      </w:tabs>
      <w:spacing w:after="120" w:afterLines="0"/>
      <w:ind w:firstLine="420"/>
    </w:pPr>
    <w:rPr>
      <w:rFonts w:ascii="仿宋_GB2312" w:hAnsi="Times New Roman" w:eastAsia="仿宋_GB2312" w:cs="Times New Roman"/>
      <w:sz w:val="24"/>
      <w:szCs w:val="20"/>
    </w:rPr>
  </w:style>
  <w:style w:type="table" w:styleId="46">
    <w:name w:val="Table Grid"/>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0"/>
    <w:rPr>
      <w:b/>
      <w:bCs/>
    </w:rPr>
  </w:style>
  <w:style w:type="character" w:styleId="49">
    <w:name w:val="page number"/>
    <w:basedOn w:val="47"/>
    <w:qFormat/>
    <w:uiPriority w:val="0"/>
  </w:style>
  <w:style w:type="character" w:styleId="50">
    <w:name w:val="FollowedHyperlink"/>
    <w:basedOn w:val="47"/>
    <w:qFormat/>
    <w:uiPriority w:val="99"/>
    <w:rPr>
      <w:color w:val="800080"/>
      <w:u w:val="none"/>
    </w:rPr>
  </w:style>
  <w:style w:type="character" w:styleId="51">
    <w:name w:val="Emphasis"/>
    <w:basedOn w:val="47"/>
    <w:qFormat/>
    <w:uiPriority w:val="0"/>
  </w:style>
  <w:style w:type="character" w:styleId="52">
    <w:name w:val="line number"/>
    <w:basedOn w:val="47"/>
    <w:qFormat/>
    <w:uiPriority w:val="0"/>
  </w:style>
  <w:style w:type="character" w:styleId="53">
    <w:name w:val="HTML Definition"/>
    <w:basedOn w:val="47"/>
    <w:semiHidden/>
    <w:unhideWhenUsed/>
    <w:qFormat/>
    <w:uiPriority w:val="0"/>
  </w:style>
  <w:style w:type="character" w:styleId="54">
    <w:name w:val="HTML Typewriter"/>
    <w:basedOn w:val="47"/>
    <w:semiHidden/>
    <w:unhideWhenUsed/>
    <w:qFormat/>
    <w:uiPriority w:val="0"/>
    <w:rPr>
      <w:rFonts w:hint="default" w:ascii="monospace" w:hAnsi="monospace" w:eastAsia="monospace" w:cs="monospace"/>
      <w:sz w:val="20"/>
    </w:rPr>
  </w:style>
  <w:style w:type="character" w:styleId="55">
    <w:name w:val="HTML Acronym"/>
    <w:basedOn w:val="47"/>
    <w:semiHidden/>
    <w:unhideWhenUsed/>
    <w:qFormat/>
    <w:uiPriority w:val="0"/>
  </w:style>
  <w:style w:type="character" w:styleId="56">
    <w:name w:val="HTML Variable"/>
    <w:basedOn w:val="47"/>
    <w:semiHidden/>
    <w:unhideWhenUsed/>
    <w:qFormat/>
    <w:uiPriority w:val="0"/>
  </w:style>
  <w:style w:type="character" w:styleId="57">
    <w:name w:val="Hyperlink"/>
    <w:basedOn w:val="47"/>
    <w:qFormat/>
    <w:uiPriority w:val="99"/>
    <w:rPr>
      <w:color w:val="0000FF"/>
      <w:u w:val="none"/>
    </w:rPr>
  </w:style>
  <w:style w:type="character" w:styleId="58">
    <w:name w:val="HTML Code"/>
    <w:basedOn w:val="47"/>
    <w:semiHidden/>
    <w:unhideWhenUsed/>
    <w:qFormat/>
    <w:uiPriority w:val="0"/>
    <w:rPr>
      <w:rFonts w:hint="default" w:ascii="monospace" w:hAnsi="monospace" w:eastAsia="monospace" w:cs="monospace"/>
      <w:sz w:val="20"/>
    </w:rPr>
  </w:style>
  <w:style w:type="character" w:styleId="59">
    <w:name w:val="annotation reference"/>
    <w:basedOn w:val="47"/>
    <w:semiHidden/>
    <w:unhideWhenUsed/>
    <w:qFormat/>
    <w:uiPriority w:val="0"/>
    <w:rPr>
      <w:sz w:val="21"/>
      <w:szCs w:val="21"/>
    </w:rPr>
  </w:style>
  <w:style w:type="character" w:styleId="60">
    <w:name w:val="HTML Cite"/>
    <w:basedOn w:val="47"/>
    <w:semiHidden/>
    <w:unhideWhenUsed/>
    <w:qFormat/>
    <w:uiPriority w:val="0"/>
  </w:style>
  <w:style w:type="character" w:styleId="61">
    <w:name w:val="HTML Keyboard"/>
    <w:basedOn w:val="47"/>
    <w:semiHidden/>
    <w:unhideWhenUsed/>
    <w:qFormat/>
    <w:uiPriority w:val="0"/>
    <w:rPr>
      <w:rFonts w:ascii="monospace" w:hAnsi="monospace" w:eastAsia="monospace" w:cs="monospace"/>
      <w:sz w:val="20"/>
    </w:rPr>
  </w:style>
  <w:style w:type="character" w:styleId="62">
    <w:name w:val="HTML Sample"/>
    <w:basedOn w:val="47"/>
    <w:semiHidden/>
    <w:unhideWhenUsed/>
    <w:qFormat/>
    <w:uiPriority w:val="0"/>
    <w:rPr>
      <w:rFonts w:hint="default" w:ascii="monospace" w:hAnsi="monospace" w:eastAsia="monospace" w:cs="monospace"/>
    </w:rPr>
  </w:style>
  <w:style w:type="paragraph" w:customStyle="1" w:styleId="63">
    <w:name w:val="Default"/>
    <w:next w:val="25"/>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64">
    <w:name w:val="首行缩进"/>
    <w:basedOn w:val="1"/>
    <w:qFormat/>
    <w:uiPriority w:val="0"/>
    <w:pPr>
      <w:tabs>
        <w:tab w:val="left" w:pos="540"/>
      </w:tabs>
      <w:spacing w:line="360" w:lineRule="auto"/>
    </w:pPr>
    <w:rPr>
      <w:rFonts w:eastAsia="仿宋_GB2312"/>
    </w:rPr>
  </w:style>
  <w:style w:type="character" w:customStyle="1" w:styleId="65">
    <w:name w:val="标题 1 Char"/>
    <w:basedOn w:val="47"/>
    <w:link w:val="4"/>
    <w:qFormat/>
    <w:uiPriority w:val="0"/>
    <w:rPr>
      <w:b/>
      <w:kern w:val="44"/>
      <w:sz w:val="44"/>
    </w:rPr>
  </w:style>
  <w:style w:type="character" w:customStyle="1" w:styleId="66">
    <w:name w:val="普通文字 Char Char"/>
    <w:qFormat/>
    <w:uiPriority w:val="0"/>
    <w:rPr>
      <w:rFonts w:ascii="宋体" w:hAnsi="Courier New" w:eastAsia="宋体" w:cs="Century"/>
      <w:sz w:val="21"/>
      <w:szCs w:val="21"/>
      <w:lang w:val="en-US" w:eastAsia="zh-CN" w:bidi="ar-SA"/>
    </w:rPr>
  </w:style>
  <w:style w:type="character" w:customStyle="1" w:styleId="67">
    <w:name w:val="font11"/>
    <w:basedOn w:val="47"/>
    <w:qFormat/>
    <w:uiPriority w:val="0"/>
    <w:rPr>
      <w:rFonts w:hint="eastAsia" w:ascii="宋体" w:hAnsi="宋体" w:eastAsia="宋体" w:cs="宋体"/>
      <w:color w:val="000000"/>
      <w:sz w:val="22"/>
      <w:szCs w:val="22"/>
      <w:u w:val="none"/>
    </w:rPr>
  </w:style>
  <w:style w:type="character" w:customStyle="1" w:styleId="68">
    <w:name w:val="正文文本 Char"/>
    <w:qFormat/>
    <w:uiPriority w:val="0"/>
    <w:rPr>
      <w:rFonts w:eastAsia="宋体"/>
      <w:lang w:val="en-US" w:eastAsia="zh-CN" w:bidi="ar-SA"/>
    </w:rPr>
  </w:style>
  <w:style w:type="character" w:customStyle="1" w:styleId="69">
    <w:name w:val="引用 Char"/>
    <w:basedOn w:val="47"/>
    <w:link w:val="70"/>
    <w:qFormat/>
    <w:uiPriority w:val="29"/>
    <w:rPr>
      <w:i/>
      <w:iCs/>
      <w:color w:val="000000"/>
    </w:rPr>
  </w:style>
  <w:style w:type="paragraph" w:styleId="70">
    <w:name w:val="Quote"/>
    <w:basedOn w:val="1"/>
    <w:next w:val="1"/>
    <w:link w:val="69"/>
    <w:qFormat/>
    <w:uiPriority w:val="29"/>
    <w:rPr>
      <w:i/>
      <w:iCs/>
      <w:color w:val="000000"/>
    </w:rPr>
  </w:style>
  <w:style w:type="character" w:customStyle="1" w:styleId="71">
    <w:name w:val="text"/>
    <w:basedOn w:val="47"/>
    <w:qFormat/>
    <w:uiPriority w:val="0"/>
  </w:style>
  <w:style w:type="character" w:customStyle="1" w:styleId="72">
    <w:name w:val="日期 Char"/>
    <w:basedOn w:val="47"/>
    <w:link w:val="25"/>
    <w:qFormat/>
    <w:uiPriority w:val="0"/>
    <w:rPr>
      <w:rFonts w:ascii="宋体"/>
      <w:sz w:val="24"/>
    </w:rPr>
  </w:style>
  <w:style w:type="character" w:customStyle="1" w:styleId="73">
    <w:name w:val="titlestyle10831"/>
    <w:basedOn w:val="47"/>
    <w:qFormat/>
    <w:uiPriority w:val="0"/>
    <w:rPr>
      <w:rFonts w:hint="eastAsia" w:ascii="黑体" w:hAnsi="黑体" w:eastAsia="黑体"/>
      <w:b/>
      <w:bCs/>
      <w:sz w:val="36"/>
      <w:szCs w:val="36"/>
    </w:rPr>
  </w:style>
  <w:style w:type="character" w:customStyle="1" w:styleId="74">
    <w:name w:val="正文文本 Char1"/>
    <w:basedOn w:val="47"/>
    <w:link w:val="3"/>
    <w:qFormat/>
    <w:uiPriority w:val="0"/>
    <w:rPr>
      <w:rFonts w:eastAsia="宋体"/>
      <w:lang w:val="en-US" w:eastAsia="zh-CN" w:bidi="ar-SA"/>
    </w:rPr>
  </w:style>
  <w:style w:type="character" w:customStyle="1" w:styleId="75">
    <w:name w:val="纯文本 Char"/>
    <w:basedOn w:val="47"/>
    <w:link w:val="23"/>
    <w:qFormat/>
    <w:uiPriority w:val="0"/>
    <w:rPr>
      <w:rFonts w:ascii="宋体" w:hAnsi="Courier New" w:eastAsia="宋体" w:cs="Century"/>
      <w:sz w:val="21"/>
      <w:szCs w:val="21"/>
      <w:lang w:val="en-US" w:eastAsia="zh-CN" w:bidi="ar-SA"/>
    </w:rPr>
  </w:style>
  <w:style w:type="character" w:customStyle="1" w:styleId="76">
    <w:name w:val="apple-tab-span"/>
    <w:basedOn w:val="47"/>
    <w:qFormat/>
    <w:uiPriority w:val="0"/>
  </w:style>
  <w:style w:type="character" w:customStyle="1" w:styleId="77">
    <w:name w:val="Char Char Char"/>
    <w:basedOn w:val="47"/>
    <w:qFormat/>
    <w:uiPriority w:val="0"/>
    <w:rPr>
      <w:rFonts w:ascii="宋体" w:hAnsi="Courier New" w:eastAsia="宋体"/>
      <w:kern w:val="2"/>
      <w:sz w:val="24"/>
      <w:lang w:val="en-US" w:eastAsia="zh-CN" w:bidi="ar-SA"/>
    </w:rPr>
  </w:style>
  <w:style w:type="character" w:customStyle="1" w:styleId="78">
    <w:name w:val="para"/>
    <w:basedOn w:val="47"/>
    <w:qFormat/>
    <w:uiPriority w:val="0"/>
  </w:style>
  <w:style w:type="character" w:customStyle="1" w:styleId="79">
    <w:name w:val="main14"/>
    <w:basedOn w:val="47"/>
    <w:qFormat/>
    <w:uiPriority w:val="0"/>
  </w:style>
  <w:style w:type="character" w:customStyle="1" w:styleId="80">
    <w:name w:val="title_emph"/>
    <w:basedOn w:val="47"/>
    <w:qFormat/>
    <w:uiPriority w:val="0"/>
  </w:style>
  <w:style w:type="character" w:customStyle="1" w:styleId="81">
    <w:name w:val="font01"/>
    <w:basedOn w:val="47"/>
    <w:qFormat/>
    <w:uiPriority w:val="0"/>
    <w:rPr>
      <w:rFonts w:hint="eastAsia" w:ascii="宋体" w:hAnsi="宋体" w:eastAsia="宋体" w:cs="宋体"/>
      <w:color w:val="000000"/>
      <w:sz w:val="22"/>
      <w:szCs w:val="22"/>
      <w:u w:val="none"/>
    </w:rPr>
  </w:style>
  <w:style w:type="paragraph" w:customStyle="1" w:styleId="82">
    <w:name w:val="È±Ê¡ÎÄ±¾"/>
    <w:basedOn w:val="1"/>
    <w:qFormat/>
    <w:uiPriority w:val="0"/>
    <w:pPr>
      <w:overflowPunct w:val="0"/>
      <w:autoSpaceDE w:val="0"/>
      <w:autoSpaceDN w:val="0"/>
      <w:adjustRightInd w:val="0"/>
      <w:textAlignment w:val="baseline"/>
    </w:pPr>
    <w:rPr>
      <w:sz w:val="24"/>
    </w:rPr>
  </w:style>
  <w:style w:type="character" w:customStyle="1" w:styleId="83">
    <w:name w:val="页眉 Char"/>
    <w:basedOn w:val="47"/>
    <w:link w:val="29"/>
    <w:qFormat/>
    <w:uiPriority w:val="99"/>
    <w:rPr>
      <w:sz w:val="18"/>
    </w:rPr>
  </w:style>
  <w:style w:type="paragraph" w:customStyle="1" w:styleId="84">
    <w:name w:val="Char Char Char Char"/>
    <w:basedOn w:val="1"/>
    <w:qFormat/>
    <w:uiPriority w:val="0"/>
    <w:pPr>
      <w:widowControl w:val="0"/>
      <w:jc w:val="both"/>
    </w:pPr>
    <w:rPr>
      <w:rFonts w:ascii="Tahoma" w:hAnsi="Tahoma"/>
      <w:kern w:val="2"/>
      <w:sz w:val="24"/>
    </w:rPr>
  </w:style>
  <w:style w:type="paragraph" w:customStyle="1" w:styleId="85">
    <w:name w:val="1"/>
    <w:basedOn w:val="1"/>
    <w:next w:val="39"/>
    <w:qFormat/>
    <w:uiPriority w:val="0"/>
    <w:pPr>
      <w:spacing w:before="100" w:beforeAutospacing="1" w:after="100" w:afterAutospacing="1"/>
    </w:pPr>
    <w:rPr>
      <w:rFonts w:ascii="宋体" w:hAnsi="宋体" w:cs="黑体"/>
      <w:sz w:val="24"/>
      <w:szCs w:val="24"/>
    </w:rPr>
  </w:style>
  <w:style w:type="paragraph" w:customStyle="1" w:styleId="86">
    <w:name w:val="正文文本缩进1"/>
    <w:basedOn w:val="1"/>
    <w:qFormat/>
    <w:uiPriority w:val="0"/>
    <w:pPr>
      <w:widowControl w:val="0"/>
      <w:ind w:firstLine="560" w:firstLineChars="200"/>
      <w:jc w:val="both"/>
    </w:pPr>
    <w:rPr>
      <w:kern w:val="2"/>
      <w:sz w:val="28"/>
      <w:szCs w:val="28"/>
    </w:rPr>
  </w:style>
  <w:style w:type="paragraph" w:customStyle="1" w:styleId="87">
    <w:name w:val="IBM 正文"/>
    <w:basedOn w:val="1"/>
    <w:qFormat/>
    <w:uiPriority w:val="0"/>
    <w:pPr>
      <w:widowControl w:val="0"/>
      <w:spacing w:line="400" w:lineRule="exact"/>
      <w:jc w:val="both"/>
    </w:pPr>
    <w:rPr>
      <w:spacing w:val="20"/>
      <w:kern w:val="2"/>
      <w:sz w:val="24"/>
    </w:rPr>
  </w:style>
  <w:style w:type="paragraph" w:customStyle="1" w:styleId="88">
    <w:name w:val="Char"/>
    <w:basedOn w:val="1"/>
    <w:qFormat/>
    <w:uiPriority w:val="0"/>
    <w:pPr>
      <w:spacing w:after="160" w:line="240" w:lineRule="exact"/>
    </w:pPr>
    <w:rPr>
      <w:rFonts w:ascii="宋体" w:hAnsi="宋体"/>
      <w:lang w:eastAsia="en-US"/>
    </w:rPr>
  </w:style>
  <w:style w:type="paragraph" w:customStyle="1" w:styleId="89">
    <w:name w:val="样式2"/>
    <w:basedOn w:val="1"/>
    <w:qFormat/>
    <w:uiPriority w:val="0"/>
    <w:pPr>
      <w:widowControl w:val="0"/>
      <w:jc w:val="both"/>
    </w:pPr>
    <w:rPr>
      <w:rFonts w:ascii="仿宋_GB2312" w:eastAsia="仿宋_GB2312"/>
      <w:kern w:val="2"/>
      <w:sz w:val="32"/>
    </w:rPr>
  </w:style>
  <w:style w:type="paragraph" w:customStyle="1" w:styleId="90">
    <w:name w:val="Blockquote"/>
    <w:basedOn w:val="1"/>
    <w:qFormat/>
    <w:uiPriority w:val="0"/>
    <w:pPr>
      <w:widowControl w:val="0"/>
      <w:autoSpaceDE w:val="0"/>
      <w:autoSpaceDN w:val="0"/>
      <w:adjustRightInd w:val="0"/>
      <w:spacing w:before="100" w:after="100"/>
      <w:ind w:left="360" w:right="360"/>
    </w:pPr>
    <w:rPr>
      <w:sz w:val="24"/>
      <w:szCs w:val="24"/>
    </w:rPr>
  </w:style>
  <w:style w:type="paragraph" w:customStyle="1" w:styleId="91">
    <w:name w:val="Char Char Char1 Char"/>
    <w:basedOn w:val="1"/>
    <w:qFormat/>
    <w:uiPriority w:val="0"/>
    <w:pPr>
      <w:widowControl w:val="0"/>
      <w:jc w:val="both"/>
    </w:pPr>
    <w:rPr>
      <w:rFonts w:ascii="Tahoma" w:hAnsi="Tahoma"/>
      <w:kern w:val="2"/>
      <w:sz w:val="24"/>
    </w:rPr>
  </w:style>
  <w:style w:type="paragraph" w:customStyle="1" w:styleId="92">
    <w:name w:val="缺省文本:1"/>
    <w:basedOn w:val="1"/>
    <w:qFormat/>
    <w:uiPriority w:val="0"/>
    <w:pPr>
      <w:widowControl w:val="0"/>
      <w:autoSpaceDE w:val="0"/>
      <w:autoSpaceDN w:val="0"/>
      <w:adjustRightInd w:val="0"/>
    </w:pPr>
    <w:rPr>
      <w:sz w:val="24"/>
      <w:szCs w:val="24"/>
    </w:rPr>
  </w:style>
  <w:style w:type="paragraph" w:customStyle="1" w:styleId="93">
    <w:name w:val="标题1.9"/>
    <w:basedOn w:val="1"/>
    <w:qFormat/>
    <w:uiPriority w:val="0"/>
    <w:pPr>
      <w:widowControl w:val="0"/>
      <w:autoSpaceDE w:val="0"/>
      <w:autoSpaceDN w:val="0"/>
      <w:adjustRightInd w:val="0"/>
      <w:jc w:val="center"/>
    </w:pPr>
    <w:rPr>
      <w:rFonts w:ascii="黑体" w:eastAsia="黑体"/>
      <w:sz w:val="24"/>
      <w:szCs w:val="24"/>
    </w:rPr>
  </w:style>
  <w:style w:type="paragraph" w:customStyle="1" w:styleId="94">
    <w:name w:val="默认段落字体 Para Char Char Char Char Char Char Char Char Char1 Char Char Char Char"/>
    <w:basedOn w:val="1"/>
    <w:qFormat/>
    <w:uiPriority w:val="0"/>
    <w:pPr>
      <w:widowControl w:val="0"/>
      <w:adjustRightInd w:val="0"/>
      <w:spacing w:line="312" w:lineRule="atLeast"/>
      <w:jc w:val="both"/>
      <w:textAlignment w:val="baseline"/>
    </w:pPr>
    <w:rPr>
      <w:b/>
      <w:bCs/>
      <w:sz w:val="36"/>
      <w:szCs w:val="32"/>
    </w:rPr>
  </w:style>
  <w:style w:type="paragraph" w:styleId="95">
    <w:name w:val="List Paragraph"/>
    <w:basedOn w:val="1"/>
    <w:link w:val="138"/>
    <w:qFormat/>
    <w:uiPriority w:val="34"/>
    <w:pPr>
      <w:widowControl w:val="0"/>
      <w:spacing w:line="360" w:lineRule="auto"/>
      <w:ind w:left="720" w:firstLine="420" w:firstLineChars="200"/>
      <w:jc w:val="both"/>
    </w:pPr>
    <w:rPr>
      <w:rFonts w:ascii="Calibri" w:hAnsi="Calibri"/>
      <w:kern w:val="2"/>
      <w:sz w:val="21"/>
      <w:szCs w:val="22"/>
    </w:rPr>
  </w:style>
  <w:style w:type="paragraph" w:customStyle="1" w:styleId="96">
    <w:name w:val="正文文本缩进 21"/>
    <w:basedOn w:val="1"/>
    <w:qFormat/>
    <w:uiPriority w:val="0"/>
    <w:pPr>
      <w:widowControl w:val="0"/>
      <w:adjustRightInd w:val="0"/>
      <w:spacing w:line="360" w:lineRule="atLeast"/>
      <w:ind w:firstLine="600"/>
      <w:jc w:val="both"/>
      <w:textAlignment w:val="baseline"/>
    </w:pPr>
    <w:rPr>
      <w:sz w:val="32"/>
    </w:rPr>
  </w:style>
  <w:style w:type="paragraph" w:customStyle="1" w:styleId="97">
    <w:name w:val="标题 4.1"/>
    <w:basedOn w:val="1"/>
    <w:qFormat/>
    <w:uiPriority w:val="0"/>
    <w:pPr>
      <w:keepNext/>
      <w:keepLines/>
      <w:widowControl w:val="0"/>
      <w:spacing w:before="280" w:after="290" w:line="376" w:lineRule="auto"/>
      <w:jc w:val="both"/>
      <w:outlineLvl w:val="3"/>
    </w:pPr>
    <w:rPr>
      <w:rFonts w:ascii="Arial" w:hAnsi="Arial" w:eastAsia="黑体"/>
      <w:b/>
      <w:bCs/>
      <w:kern w:val="2"/>
      <w:sz w:val="28"/>
      <w:szCs w:val="28"/>
    </w:rPr>
  </w:style>
  <w:style w:type="paragraph" w:customStyle="1" w:styleId="98">
    <w:name w:val="reader-word-layer reader-word-s16-2"/>
    <w:basedOn w:val="1"/>
    <w:qFormat/>
    <w:uiPriority w:val="0"/>
    <w:pPr>
      <w:spacing w:before="100" w:beforeAutospacing="1" w:after="100" w:afterAutospacing="1"/>
    </w:pPr>
    <w:rPr>
      <w:rFonts w:ascii="宋体" w:hAnsi="宋体" w:cs="宋体"/>
      <w:sz w:val="24"/>
      <w:szCs w:val="24"/>
    </w:rPr>
  </w:style>
  <w:style w:type="paragraph" w:customStyle="1" w:styleId="99">
    <w:name w:val="标题5"/>
    <w:basedOn w:val="1"/>
    <w:qFormat/>
    <w:uiPriority w:val="0"/>
    <w:pPr>
      <w:widowControl w:val="0"/>
      <w:tabs>
        <w:tab w:val="left" w:pos="7035"/>
      </w:tabs>
      <w:jc w:val="both"/>
    </w:pPr>
    <w:rPr>
      <w:rFonts w:ascii="宋体" w:hAnsi="宋体"/>
      <w:b/>
      <w:color w:val="000000"/>
      <w:kern w:val="2"/>
      <w:sz w:val="24"/>
      <w:szCs w:val="24"/>
    </w:rPr>
  </w:style>
  <w:style w:type="paragraph" w:customStyle="1" w:styleId="100">
    <w:name w:val="正文文本 21"/>
    <w:basedOn w:val="1"/>
    <w:qFormat/>
    <w:uiPriority w:val="0"/>
    <w:pPr>
      <w:widowControl w:val="0"/>
      <w:adjustRightInd w:val="0"/>
      <w:spacing w:line="360" w:lineRule="atLeast"/>
      <w:ind w:firstLine="720"/>
      <w:jc w:val="both"/>
      <w:textAlignment w:val="baseline"/>
    </w:pPr>
    <w:rPr>
      <w:sz w:val="32"/>
      <w:szCs w:val="24"/>
    </w:rPr>
  </w:style>
  <w:style w:type="paragraph" w:customStyle="1" w:styleId="101">
    <w:name w:val="reader-word-layer reader-word-s16-14"/>
    <w:basedOn w:val="1"/>
    <w:qFormat/>
    <w:uiPriority w:val="0"/>
    <w:pPr>
      <w:spacing w:before="100" w:beforeAutospacing="1" w:after="100" w:afterAutospacing="1"/>
    </w:pPr>
    <w:rPr>
      <w:rFonts w:ascii="宋体" w:hAnsi="宋体" w:cs="宋体"/>
      <w:sz w:val="24"/>
      <w:szCs w:val="24"/>
    </w:rPr>
  </w:style>
  <w:style w:type="paragraph" w:customStyle="1" w:styleId="102">
    <w:name w:val="xl28"/>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sz w:val="24"/>
      <w:szCs w:val="24"/>
    </w:rPr>
  </w:style>
  <w:style w:type="paragraph" w:customStyle="1" w:styleId="103">
    <w:name w:val="reader-word-layer reader-word-s16-16"/>
    <w:basedOn w:val="1"/>
    <w:qFormat/>
    <w:uiPriority w:val="0"/>
    <w:pPr>
      <w:spacing w:before="100" w:beforeAutospacing="1" w:after="100" w:afterAutospacing="1"/>
    </w:pPr>
    <w:rPr>
      <w:rFonts w:ascii="宋体" w:hAnsi="宋体" w:cs="宋体"/>
      <w:sz w:val="24"/>
      <w:szCs w:val="24"/>
    </w:rPr>
  </w:style>
  <w:style w:type="paragraph" w:customStyle="1" w:styleId="104">
    <w:name w:val="o"/>
    <w:basedOn w:val="1"/>
    <w:qFormat/>
    <w:uiPriority w:val="0"/>
    <w:pPr>
      <w:widowControl w:val="0"/>
      <w:adjustRightInd w:val="0"/>
      <w:spacing w:line="360" w:lineRule="atLeast"/>
      <w:textAlignment w:val="baseline"/>
    </w:pPr>
    <w:rPr>
      <w:rFonts w:ascii="宋体"/>
      <w:sz w:val="32"/>
    </w:rPr>
  </w:style>
  <w:style w:type="paragraph" w:customStyle="1" w:styleId="105">
    <w:name w:val="aspnumfaautoadjustright"/>
    <w:qFormat/>
    <w:uiPriority w:val="0"/>
    <w:pPr>
      <w:widowControl w:val="0"/>
      <w:autoSpaceDE w:val="0"/>
      <w:autoSpaceDN w:val="0"/>
      <w:adjustRightInd w:val="0"/>
      <w:jc w:val="both"/>
    </w:pPr>
    <w:rPr>
      <w:rFonts w:ascii="宋体" w:hAnsi="Times New Roman" w:eastAsia="宋体" w:cs="Times New Roman"/>
      <w:lang w:val="en-US" w:eastAsia="zh-CN" w:bidi="ar-SA"/>
    </w:rPr>
  </w:style>
  <w:style w:type="paragraph" w:customStyle="1" w:styleId="106">
    <w:name w:val="小标题"/>
    <w:basedOn w:val="1"/>
    <w:qFormat/>
    <w:uiPriority w:val="0"/>
    <w:pPr>
      <w:widowControl w:val="0"/>
      <w:adjustRightInd w:val="0"/>
      <w:spacing w:before="120" w:after="120" w:line="400" w:lineRule="atLeast"/>
      <w:jc w:val="both"/>
      <w:textAlignment w:val="baseline"/>
    </w:pPr>
    <w:rPr>
      <w:rFonts w:ascii="宋体" w:hAnsi="宋体"/>
      <w:sz w:val="24"/>
    </w:rPr>
  </w:style>
  <w:style w:type="paragraph" w:customStyle="1" w:styleId="107">
    <w:name w:val="默认段落字体 Para Char Char Char Char Char Char Char Char Char1 Char Char Char Char Char Char Char"/>
    <w:basedOn w:val="15"/>
    <w:qFormat/>
    <w:uiPriority w:val="0"/>
    <w:pPr>
      <w:widowControl w:val="0"/>
      <w:jc w:val="both"/>
    </w:pPr>
    <w:rPr>
      <w:rFonts w:ascii="Tahoma" w:hAnsi="Tahoma" w:cs="Tahoma"/>
      <w:kern w:val="2"/>
      <w:sz w:val="24"/>
      <w:szCs w:val="24"/>
    </w:rPr>
  </w:style>
  <w:style w:type="paragraph" w:customStyle="1" w:styleId="108">
    <w:name w:val="?¡ì?¡ì?¡§¡è?¡ìo????¡§¡è?:1:1"/>
    <w:basedOn w:val="1"/>
    <w:qFormat/>
    <w:uiPriority w:val="0"/>
    <w:pPr>
      <w:overflowPunct w:val="0"/>
      <w:autoSpaceDE w:val="0"/>
      <w:autoSpaceDN w:val="0"/>
      <w:adjustRightInd w:val="0"/>
    </w:pPr>
    <w:rPr>
      <w:sz w:val="24"/>
    </w:rPr>
  </w:style>
  <w:style w:type="paragraph" w:customStyle="1" w:styleId="109">
    <w:name w:val="Char Char2"/>
    <w:basedOn w:val="1"/>
    <w:qFormat/>
    <w:uiPriority w:val="0"/>
    <w:pPr>
      <w:widowControl w:val="0"/>
      <w:jc w:val="both"/>
    </w:pPr>
    <w:rPr>
      <w:rFonts w:ascii="Tahoma" w:hAnsi="Tahoma"/>
      <w:kern w:val="2"/>
      <w:sz w:val="24"/>
    </w:rPr>
  </w:style>
  <w:style w:type="paragraph" w:customStyle="1" w:styleId="110">
    <w:name w:val="reader-word-layer reader-word-s16-12"/>
    <w:basedOn w:val="1"/>
    <w:qFormat/>
    <w:uiPriority w:val="0"/>
    <w:pPr>
      <w:spacing w:before="100" w:beforeAutospacing="1" w:after="100" w:afterAutospacing="1"/>
    </w:pPr>
    <w:rPr>
      <w:rFonts w:ascii="宋体" w:hAnsi="宋体" w:cs="宋体"/>
      <w:sz w:val="24"/>
      <w:szCs w:val="24"/>
    </w:rPr>
  </w:style>
  <w:style w:type="paragraph" w:customStyle="1" w:styleId="111">
    <w:name w:val="reader-word-layer reader-word-s16-9"/>
    <w:basedOn w:val="1"/>
    <w:qFormat/>
    <w:uiPriority w:val="0"/>
    <w:pPr>
      <w:spacing w:before="100" w:beforeAutospacing="1" w:after="100" w:afterAutospacing="1"/>
    </w:pPr>
    <w:rPr>
      <w:rFonts w:ascii="宋体" w:hAnsi="宋体" w:cs="宋体"/>
      <w:sz w:val="24"/>
      <w:szCs w:val="24"/>
    </w:rPr>
  </w:style>
  <w:style w:type="paragraph" w:customStyle="1" w:styleId="112">
    <w:name w:val="Char1 Char Char Char"/>
    <w:basedOn w:val="1"/>
    <w:qFormat/>
    <w:uiPriority w:val="0"/>
    <w:pPr>
      <w:widowControl w:val="0"/>
      <w:jc w:val="both"/>
    </w:pPr>
    <w:rPr>
      <w:kern w:val="2"/>
      <w:sz w:val="21"/>
      <w:szCs w:val="24"/>
    </w:rPr>
  </w:style>
  <w:style w:type="paragraph" w:customStyle="1" w:styleId="113">
    <w:name w:val="默认段落字体 Para Char Char Char Char"/>
    <w:basedOn w:val="1"/>
    <w:qFormat/>
    <w:uiPriority w:val="0"/>
    <w:pPr>
      <w:widowControl w:val="0"/>
      <w:jc w:val="both"/>
    </w:pPr>
    <w:rPr>
      <w:kern w:val="2"/>
      <w:sz w:val="21"/>
      <w:szCs w:val="24"/>
    </w:rPr>
  </w:style>
  <w:style w:type="paragraph" w:customStyle="1" w:styleId="114">
    <w:name w:val="?¡ì?¡ì?¡§¡è?¡ìo????¡§¡è?:1"/>
    <w:basedOn w:val="1"/>
    <w:qFormat/>
    <w:uiPriority w:val="0"/>
    <w:pPr>
      <w:overflowPunct w:val="0"/>
      <w:autoSpaceDE w:val="0"/>
      <w:autoSpaceDN w:val="0"/>
      <w:adjustRightInd w:val="0"/>
    </w:pPr>
    <w:rPr>
      <w:sz w:val="24"/>
    </w:rPr>
  </w:style>
  <w:style w:type="paragraph" w:customStyle="1" w:styleId="115">
    <w:name w:val="默认段落字体 Para Char"/>
    <w:basedOn w:val="1"/>
    <w:qFormat/>
    <w:uiPriority w:val="0"/>
    <w:pPr>
      <w:widowControl w:val="0"/>
      <w:jc w:val="both"/>
    </w:pPr>
    <w:rPr>
      <w:kern w:val="2"/>
      <w:sz w:val="21"/>
      <w:szCs w:val="24"/>
    </w:rPr>
  </w:style>
  <w:style w:type="paragraph" w:customStyle="1" w:styleId="116">
    <w:name w:val="表格02"/>
    <w:basedOn w:val="1"/>
    <w:qFormat/>
    <w:uiPriority w:val="0"/>
    <w:pPr>
      <w:widowControl w:val="0"/>
      <w:adjustRightInd w:val="0"/>
      <w:snapToGrid w:val="0"/>
      <w:spacing w:line="400" w:lineRule="exact"/>
      <w:jc w:val="center"/>
      <w:textAlignment w:val="baseline"/>
    </w:pPr>
    <w:rPr>
      <w:snapToGrid w:val="0"/>
      <w:sz w:val="24"/>
      <w:szCs w:val="24"/>
      <w:lang w:val="en-GB"/>
    </w:rPr>
  </w:style>
  <w:style w:type="paragraph" w:customStyle="1" w:styleId="117">
    <w:name w:val="reader-word-layer reader-word-s16-17"/>
    <w:basedOn w:val="1"/>
    <w:qFormat/>
    <w:uiPriority w:val="0"/>
    <w:pPr>
      <w:spacing w:before="100" w:beforeAutospacing="1" w:after="100" w:afterAutospacing="1"/>
    </w:pPr>
    <w:rPr>
      <w:rFonts w:ascii="宋体" w:hAnsi="宋体" w:cs="宋体"/>
      <w:sz w:val="24"/>
      <w:szCs w:val="24"/>
    </w:rPr>
  </w:style>
  <w:style w:type="paragraph" w:customStyle="1" w:styleId="118">
    <w:name w:val="CM22"/>
    <w:basedOn w:val="1"/>
    <w:next w:val="1"/>
    <w:qFormat/>
    <w:uiPriority w:val="0"/>
    <w:pPr>
      <w:widowControl w:val="0"/>
      <w:autoSpaceDE w:val="0"/>
      <w:autoSpaceDN w:val="0"/>
      <w:adjustRightInd w:val="0"/>
      <w:spacing w:after="310"/>
    </w:pPr>
    <w:rPr>
      <w:rFonts w:ascii="宋体"/>
      <w:sz w:val="24"/>
      <w:szCs w:val="24"/>
    </w:rPr>
  </w:style>
  <w:style w:type="paragraph" w:customStyle="1" w:styleId="119">
    <w:name w:val="reader-word-layer reader-word-s16-11"/>
    <w:basedOn w:val="1"/>
    <w:qFormat/>
    <w:uiPriority w:val="0"/>
    <w:pPr>
      <w:spacing w:before="100" w:beforeAutospacing="1" w:after="100" w:afterAutospacing="1"/>
    </w:pPr>
    <w:rPr>
      <w:rFonts w:ascii="宋体" w:hAnsi="宋体" w:cs="宋体"/>
      <w:sz w:val="24"/>
      <w:szCs w:val="24"/>
    </w:rPr>
  </w:style>
  <w:style w:type="paragraph" w:customStyle="1" w:styleId="120">
    <w:name w:val="È±Ê¡ÎÄ±¾:1:1"/>
    <w:basedOn w:val="1"/>
    <w:qFormat/>
    <w:uiPriority w:val="0"/>
    <w:pPr>
      <w:overflowPunct w:val="0"/>
      <w:autoSpaceDE w:val="0"/>
      <w:autoSpaceDN w:val="0"/>
      <w:adjustRightInd w:val="0"/>
      <w:textAlignment w:val="baseline"/>
    </w:pPr>
    <w:rPr>
      <w:sz w:val="24"/>
    </w:rPr>
  </w:style>
  <w:style w:type="paragraph" w:customStyle="1" w:styleId="121">
    <w:name w:val="样式1"/>
    <w:basedOn w:val="1"/>
    <w:qFormat/>
    <w:uiPriority w:val="0"/>
    <w:pPr>
      <w:widowControl w:val="0"/>
      <w:spacing w:before="120" w:after="120" w:line="300" w:lineRule="auto"/>
      <w:jc w:val="both"/>
    </w:pPr>
    <w:rPr>
      <w:rFonts w:ascii="宋体" w:hAnsi="宋体"/>
      <w:b/>
      <w:kern w:val="2"/>
      <w:sz w:val="24"/>
    </w:rPr>
  </w:style>
  <w:style w:type="paragraph" w:customStyle="1" w:styleId="122">
    <w:name w:val="_Style 17"/>
    <w:basedOn w:val="1"/>
    <w:next w:val="39"/>
    <w:qFormat/>
    <w:uiPriority w:val="0"/>
    <w:pPr>
      <w:spacing w:before="100" w:beforeAutospacing="1" w:after="100" w:afterAutospacing="1"/>
    </w:pPr>
    <w:rPr>
      <w:rFonts w:ascii="宋体" w:hAnsi="宋体" w:cs="黑体"/>
      <w:sz w:val="24"/>
      <w:szCs w:val="24"/>
    </w:rPr>
  </w:style>
  <w:style w:type="paragraph" w:customStyle="1" w:styleId="123">
    <w:name w:val="Char Char Char Char1"/>
    <w:basedOn w:val="1"/>
    <w:qFormat/>
    <w:uiPriority w:val="0"/>
    <w:pPr>
      <w:widowControl w:val="0"/>
      <w:jc w:val="both"/>
    </w:pPr>
    <w:rPr>
      <w:rFonts w:ascii="Tahoma" w:hAnsi="Tahoma"/>
      <w:kern w:val="2"/>
      <w:sz w:val="24"/>
    </w:rPr>
  </w:style>
  <w:style w:type="paragraph" w:customStyle="1" w:styleId="124">
    <w:name w:val="reader-word-layer reader-word-s16-7"/>
    <w:basedOn w:val="1"/>
    <w:qFormat/>
    <w:uiPriority w:val="0"/>
    <w:pPr>
      <w:spacing w:before="100" w:beforeAutospacing="1" w:after="100" w:afterAutospacing="1"/>
    </w:pPr>
    <w:rPr>
      <w:rFonts w:ascii="宋体" w:hAnsi="宋体" w:cs="宋体"/>
      <w:sz w:val="24"/>
      <w:szCs w:val="24"/>
    </w:rPr>
  </w:style>
  <w:style w:type="paragraph" w:customStyle="1" w:styleId="125">
    <w:name w:val="正文文本缩进8"/>
    <w:basedOn w:val="1"/>
    <w:qFormat/>
    <w:uiPriority w:val="0"/>
    <w:pPr>
      <w:widowControl w:val="0"/>
      <w:ind w:firstLine="560" w:firstLineChars="200"/>
      <w:jc w:val="both"/>
    </w:pPr>
    <w:rPr>
      <w:kern w:val="2"/>
      <w:sz w:val="28"/>
      <w:szCs w:val="28"/>
    </w:rPr>
  </w:style>
  <w:style w:type="paragraph" w:customStyle="1" w:styleId="126">
    <w:name w:val="_Style 110"/>
    <w:basedOn w:val="1"/>
    <w:next w:val="95"/>
    <w:qFormat/>
    <w:uiPriority w:val="34"/>
    <w:pPr>
      <w:widowControl w:val="0"/>
      <w:ind w:firstLine="420" w:firstLineChars="200"/>
      <w:jc w:val="both"/>
    </w:pPr>
    <w:rPr>
      <w:kern w:val="2"/>
      <w:sz w:val="21"/>
    </w:rPr>
  </w:style>
  <w:style w:type="character" w:customStyle="1" w:styleId="127">
    <w:name w:val="页脚 Char"/>
    <w:link w:val="128"/>
    <w:qFormat/>
    <w:uiPriority w:val="0"/>
    <w:rPr>
      <w:sz w:val="18"/>
    </w:rPr>
  </w:style>
  <w:style w:type="paragraph" w:customStyle="1" w:styleId="128">
    <w:name w:val="页脚1"/>
    <w:basedOn w:val="1"/>
    <w:link w:val="127"/>
    <w:qFormat/>
    <w:uiPriority w:val="0"/>
    <w:pPr>
      <w:widowControl w:val="0"/>
      <w:tabs>
        <w:tab w:val="center" w:pos="4153"/>
        <w:tab w:val="right" w:pos="8306"/>
      </w:tabs>
      <w:snapToGrid w:val="0"/>
    </w:pPr>
    <w:rPr>
      <w:sz w:val="18"/>
    </w:rPr>
  </w:style>
  <w:style w:type="paragraph" w:customStyle="1" w:styleId="129">
    <w:name w:val="页眉1"/>
    <w:basedOn w:val="1"/>
    <w:qFormat/>
    <w:uiPriority w:val="0"/>
    <w:pPr>
      <w:widowControl w:val="0"/>
      <w:pBdr>
        <w:bottom w:val="single" w:color="auto" w:sz="6" w:space="1"/>
      </w:pBdr>
      <w:tabs>
        <w:tab w:val="center" w:pos="4153"/>
        <w:tab w:val="right" w:pos="8306"/>
      </w:tabs>
      <w:snapToGrid w:val="0"/>
      <w:jc w:val="center"/>
    </w:pPr>
    <w:rPr>
      <w:kern w:val="2"/>
      <w:sz w:val="21"/>
    </w:rPr>
  </w:style>
  <w:style w:type="paragraph" w:customStyle="1" w:styleId="130">
    <w:name w:val="页眉11"/>
    <w:basedOn w:val="1"/>
    <w:qFormat/>
    <w:uiPriority w:val="0"/>
    <w:pPr>
      <w:widowControl w:val="0"/>
      <w:pBdr>
        <w:bottom w:val="single" w:color="auto" w:sz="6" w:space="1"/>
      </w:pBdr>
      <w:tabs>
        <w:tab w:val="center" w:pos="4153"/>
        <w:tab w:val="right" w:pos="8306"/>
      </w:tabs>
      <w:snapToGrid w:val="0"/>
      <w:jc w:val="center"/>
    </w:pPr>
    <w:rPr>
      <w:kern w:val="2"/>
      <w:sz w:val="21"/>
    </w:rPr>
  </w:style>
  <w:style w:type="paragraph" w:customStyle="1" w:styleId="131">
    <w:name w:val="正文缩进1"/>
    <w:basedOn w:val="1"/>
    <w:qFormat/>
    <w:uiPriority w:val="0"/>
    <w:pPr>
      <w:ind w:firstLine="420"/>
      <w:jc w:val="center"/>
    </w:pPr>
    <w:rPr>
      <w:b/>
      <w:sz w:val="44"/>
    </w:rPr>
  </w:style>
  <w:style w:type="paragraph" w:styleId="13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列出段落1"/>
    <w:basedOn w:val="1"/>
    <w:qFormat/>
    <w:uiPriority w:val="0"/>
    <w:pPr>
      <w:widowControl w:val="0"/>
      <w:ind w:firstLine="420"/>
      <w:jc w:val="both"/>
    </w:pPr>
    <w:rPr>
      <w:kern w:val="2"/>
      <w:sz w:val="21"/>
    </w:rPr>
  </w:style>
  <w:style w:type="character" w:customStyle="1" w:styleId="134">
    <w:name w:val="p0 Char"/>
    <w:link w:val="135"/>
    <w:qFormat/>
    <w:locked/>
    <w:uiPriority w:val="0"/>
    <w:rPr>
      <w:sz w:val="21"/>
      <w:szCs w:val="21"/>
    </w:rPr>
  </w:style>
  <w:style w:type="paragraph" w:customStyle="1" w:styleId="135">
    <w:name w:val="p0"/>
    <w:basedOn w:val="1"/>
    <w:link w:val="134"/>
    <w:qFormat/>
    <w:uiPriority w:val="0"/>
    <w:pPr>
      <w:jc w:val="both"/>
    </w:pPr>
    <w:rPr>
      <w:rFonts w:eastAsia="微软雅黑" w:asciiTheme="minorHAnsi" w:hAnsiTheme="minorHAnsi" w:cstheme="minorBidi"/>
      <w:sz w:val="21"/>
      <w:szCs w:val="21"/>
    </w:rPr>
  </w:style>
  <w:style w:type="paragraph" w:customStyle="1" w:styleId="136">
    <w:name w:val="正文缩进2格"/>
    <w:basedOn w:val="1"/>
    <w:link w:val="137"/>
    <w:qFormat/>
    <w:uiPriority w:val="0"/>
    <w:pPr>
      <w:widowControl w:val="0"/>
      <w:spacing w:line="600" w:lineRule="exact"/>
      <w:ind w:firstLine="639" w:firstLineChars="206"/>
      <w:jc w:val="both"/>
    </w:pPr>
    <w:rPr>
      <w:rFonts w:ascii="仿宋_GB2312" w:hAnsi="宋体" w:eastAsia="仿宋_GB2312"/>
      <w:kern w:val="2"/>
      <w:sz w:val="31"/>
      <w:szCs w:val="28"/>
    </w:rPr>
  </w:style>
  <w:style w:type="character" w:customStyle="1" w:styleId="137">
    <w:name w:val="正文缩进2格 Char"/>
    <w:link w:val="136"/>
    <w:qFormat/>
    <w:uiPriority w:val="0"/>
    <w:rPr>
      <w:rFonts w:ascii="仿宋_GB2312" w:hAnsi="宋体" w:eastAsia="仿宋_GB2312" w:cs="Times New Roman"/>
      <w:kern w:val="2"/>
      <w:sz w:val="31"/>
      <w:szCs w:val="28"/>
    </w:rPr>
  </w:style>
  <w:style w:type="character" w:customStyle="1" w:styleId="138">
    <w:name w:val="列出段落 Char"/>
    <w:link w:val="95"/>
    <w:qFormat/>
    <w:uiPriority w:val="0"/>
    <w:rPr>
      <w:rFonts w:ascii="Calibri" w:hAnsi="Calibri" w:eastAsia="宋体" w:cs="Times New Roman"/>
      <w:kern w:val="2"/>
      <w:sz w:val="21"/>
      <w:szCs w:val="22"/>
    </w:rPr>
  </w:style>
  <w:style w:type="character" w:customStyle="1" w:styleId="139">
    <w:name w:val="批注文字 Char"/>
    <w:basedOn w:val="47"/>
    <w:link w:val="16"/>
    <w:semiHidden/>
    <w:qFormat/>
    <w:uiPriority w:val="0"/>
    <w:rPr>
      <w:rFonts w:ascii="Times New Roman" w:hAnsi="Times New Roman" w:eastAsia="宋体" w:cs="Times New Roman"/>
    </w:rPr>
  </w:style>
  <w:style w:type="character" w:customStyle="1" w:styleId="140">
    <w:name w:val="批注主题 Char"/>
    <w:basedOn w:val="139"/>
    <w:link w:val="42"/>
    <w:semiHidden/>
    <w:qFormat/>
    <w:uiPriority w:val="0"/>
    <w:rPr>
      <w:rFonts w:ascii="Times New Roman" w:hAnsi="Times New Roman" w:eastAsia="宋体" w:cs="Times New Roman"/>
      <w:b/>
      <w:bCs/>
    </w:rPr>
  </w:style>
  <w:style w:type="paragraph" w:customStyle="1" w:styleId="141">
    <w:name w:val="修订1"/>
    <w:hidden/>
    <w:semiHidden/>
    <w:qFormat/>
    <w:uiPriority w:val="99"/>
    <w:rPr>
      <w:rFonts w:ascii="Times New Roman" w:hAnsi="Times New Roman" w:eastAsia="宋体" w:cs="Times New Roman"/>
      <w:lang w:val="en-US" w:eastAsia="zh-CN" w:bidi="ar-SA"/>
    </w:rPr>
  </w:style>
  <w:style w:type="character" w:customStyle="1" w:styleId="142">
    <w:name w:val="layui-layer-tabnow"/>
    <w:basedOn w:val="47"/>
    <w:qFormat/>
    <w:uiPriority w:val="0"/>
    <w:rPr>
      <w:bdr w:val="single" w:color="CCCCCC" w:sz="6" w:space="0"/>
      <w:shd w:val="clear" w:color="auto" w:fill="FFFFFF"/>
    </w:rPr>
  </w:style>
  <w:style w:type="character" w:customStyle="1" w:styleId="143">
    <w:name w:val="first-child"/>
    <w:basedOn w:val="47"/>
    <w:qFormat/>
    <w:uiPriority w:val="0"/>
  </w:style>
  <w:style w:type="character" w:customStyle="1" w:styleId="144">
    <w:name w:val="oblog_text"/>
    <w:basedOn w:val="47"/>
    <w:qFormat/>
    <w:uiPriority w:val="0"/>
  </w:style>
  <w:style w:type="paragraph" w:customStyle="1" w:styleId="145">
    <w:name w:val="*正文"/>
    <w:basedOn w:val="1"/>
    <w:autoRedefine/>
    <w:qFormat/>
    <w:uiPriority w:val="0"/>
    <w:pPr>
      <w:keepNext/>
      <w:keepLines/>
      <w:spacing w:line="360" w:lineRule="auto"/>
      <w:ind w:firstLine="200" w:firstLineChars="200"/>
    </w:pPr>
    <w:rPr>
      <w:rFonts w:ascii="宋体" w:hAnsi="宋体"/>
    </w:rPr>
  </w:style>
  <w:style w:type="character" w:customStyle="1" w:styleId="146">
    <w:name w:val="fontstyle01"/>
    <w:basedOn w:val="47"/>
    <w:qFormat/>
    <w:uiPriority w:val="0"/>
    <w:rPr>
      <w:rFonts w:hint="eastAsia" w:ascii="宋体" w:hAnsi="宋体" w:eastAsia="宋体"/>
      <w:color w:val="000000"/>
      <w:sz w:val="22"/>
      <w:szCs w:val="22"/>
    </w:rPr>
  </w:style>
  <w:style w:type="character" w:customStyle="1" w:styleId="147">
    <w:name w:val="font21"/>
    <w:basedOn w:val="47"/>
    <w:qFormat/>
    <w:uiPriority w:val="0"/>
    <w:rPr>
      <w:rFonts w:ascii="Calibri" w:hAnsi="Calibri" w:cs="Calibri"/>
      <w:color w:val="000000"/>
      <w:sz w:val="21"/>
      <w:szCs w:val="21"/>
      <w:u w:val="none"/>
    </w:rPr>
  </w:style>
  <w:style w:type="paragraph" w:customStyle="1" w:styleId="14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49">
    <w:name w:val="font31"/>
    <w:basedOn w:val="47"/>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中恒一信项目管理咨询有限公司</Company>
  <Pages>118</Pages>
  <Words>5198</Words>
  <Characters>6114</Characters>
  <Lines>271</Lines>
  <Paragraphs>76</Paragraphs>
  <TotalTime>1</TotalTime>
  <ScaleCrop>false</ScaleCrop>
  <LinksUpToDate>false</LinksUpToDate>
  <CharactersWithSpaces>6175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2020-12-07T00:11:00Z</dcterms:created>
  <dc:creator>赵明</dc:creator>
  <cp:lastModifiedBy>[嘿哈]</cp:lastModifiedBy>
  <cp:lastPrinted>2023-08-28T01:39:00Z</cp:lastPrinted>
  <dcterms:modified xsi:type="dcterms:W3CDTF">2025-07-03T02:06:14Z</dcterms:modified>
  <dc:title>招标文件</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0C6DC83E753E4EBB98B4764C5856AA42_13</vt:lpwstr>
  </property>
  <property fmtid="{D5CDD505-2E9C-101B-9397-08002B2CF9AE}" pid="4" name="KSOTemplateDocerSaveRecord">
    <vt:lpwstr>eyJoZGlkIjoiZTg5MzllZGM3NGU1ZmJkMTg1M2EyMWJjZWZhNDA4NWIiLCJ1c2VySWQiOiI1NjM0MTYzMjgifQ==</vt:lpwstr>
  </property>
</Properties>
</file>